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 w:before="120" w:after="0"/>
        <w:jc w:val="center"/>
        <w:rPr>
          <w:rFonts w:cs="Calibri" w:cstheme="minorHAnsi"/>
          <w:b/>
          <w:bCs/>
          <w:sz w:val="24"/>
          <w:szCs w:val="24"/>
        </w:rPr>
      </w:pPr>
      <w:r>
        <w:rPr>
          <w:rFonts w:cs="Calibri" w:cstheme="minorHAnsi"/>
          <w:b/>
          <w:bCs/>
          <w:sz w:val="24"/>
          <w:szCs w:val="24"/>
        </w:rPr>
        <w:t>PREZYDENT MIASTA BĘDZINA</w:t>
      </w:r>
    </w:p>
    <w:p>
      <w:pPr>
        <w:pStyle w:val="Normal"/>
        <w:spacing w:lineRule="auto" w:line="240" w:before="120" w:after="0"/>
        <w:jc w:val="center"/>
        <w:rPr>
          <w:rFonts w:cs="Calibri" w:cstheme="minorHAnsi"/>
          <w:b/>
          <w:bCs/>
          <w:sz w:val="24"/>
          <w:szCs w:val="24"/>
        </w:rPr>
      </w:pPr>
      <w:r>
        <w:rPr>
          <w:rFonts w:cs="Calibri" w:cstheme="minorHAnsi"/>
          <w:b/>
          <w:bCs/>
          <w:sz w:val="24"/>
          <w:szCs w:val="24"/>
        </w:rPr>
        <w:t xml:space="preserve">na podstawie art. 13 ustawy z dnia 24 kwietnia 2003 r. o działalności pożytku publicznego </w:t>
        <w:br/>
        <w:t xml:space="preserve">i o wolontariacie (t.j. Dz.U. z 2024 r., poz. 1491 z późn. zm.) oraz w związku z Uchwałą </w:t>
        <w:br/>
        <w:t>nr VI/44/2024 z dnia 30 października 2024 roku w sprawie przyjęcia „Programu współpracy miasta Będzina z organizacjami pozarządowymi i podmiotami wymienionymi w art. 3 ust. 3 ustawy o działalności pożytku publicznego i o wolontariacie na 2025 rok”</w:t>
      </w:r>
    </w:p>
    <w:p>
      <w:pPr>
        <w:pStyle w:val="Normal"/>
        <w:spacing w:lineRule="auto" w:line="240" w:before="120" w:after="0"/>
        <w:jc w:val="center"/>
        <w:rPr>
          <w:rFonts w:cs="Calibri" w:cstheme="minorHAnsi"/>
          <w:b/>
          <w:bCs/>
          <w:sz w:val="24"/>
          <w:szCs w:val="24"/>
        </w:rPr>
      </w:pPr>
      <w:r>
        <w:rPr>
          <w:rFonts w:cs="Calibri" w:cstheme="minorHAnsi"/>
          <w:b/>
          <w:bCs/>
          <w:sz w:val="24"/>
          <w:szCs w:val="24"/>
        </w:rPr>
        <w:t>ogłasza</w:t>
      </w:r>
    </w:p>
    <w:p>
      <w:pPr>
        <w:pStyle w:val="Normal"/>
        <w:spacing w:lineRule="auto" w:line="240" w:before="120" w:after="0"/>
        <w:jc w:val="center"/>
        <w:rPr>
          <w:rFonts w:cs="Calibri" w:cstheme="minorHAnsi"/>
          <w:b/>
          <w:bCs/>
          <w:sz w:val="24"/>
          <w:szCs w:val="24"/>
        </w:rPr>
      </w:pPr>
      <w:r>
        <w:rPr>
          <w:rFonts w:cs="Calibri" w:cstheme="minorHAnsi"/>
          <w:b/>
          <w:bCs/>
          <w:sz w:val="24"/>
          <w:szCs w:val="24"/>
        </w:rPr>
        <w:t>otwarty konkurs ofert</w:t>
      </w:r>
    </w:p>
    <w:p>
      <w:pPr>
        <w:pStyle w:val="Normal"/>
        <w:spacing w:lineRule="auto" w:line="240" w:before="0" w:after="0"/>
        <w:jc w:val="center"/>
        <w:rPr>
          <w:rFonts w:cs="Calibri" w:cstheme="minorHAnsi"/>
          <w:b/>
          <w:bCs/>
          <w:sz w:val="24"/>
          <w:szCs w:val="24"/>
        </w:rPr>
      </w:pPr>
      <w:r>
        <w:rPr>
          <w:rFonts w:cs="Calibri" w:cstheme="minorHAnsi"/>
          <w:b/>
          <w:bCs/>
          <w:sz w:val="24"/>
          <w:szCs w:val="24"/>
        </w:rPr>
        <w:t>na wsparcie realizacji zadań publicznych gminy Będzin z zakresu</w:t>
      </w:r>
    </w:p>
    <w:p>
      <w:pPr>
        <w:pStyle w:val="Normal"/>
        <w:spacing w:lineRule="auto" w:line="240" w:before="0" w:after="0"/>
        <w:jc w:val="center"/>
        <w:rPr>
          <w:rFonts w:cs="Calibri" w:cstheme="minorHAnsi"/>
          <w:b/>
          <w:bCs/>
          <w:sz w:val="24"/>
          <w:szCs w:val="24"/>
        </w:rPr>
      </w:pPr>
      <w:r>
        <w:rPr>
          <w:rFonts w:cs="Calibri" w:cstheme="minorHAnsi"/>
          <w:b/>
          <w:bCs/>
          <w:sz w:val="24"/>
          <w:szCs w:val="24"/>
        </w:rPr>
        <w:t>ekologii i ochrony zwierząt oraz ochrony dziedzictwa przyrodniczego</w:t>
      </w:r>
    </w:p>
    <w:p>
      <w:pPr>
        <w:pStyle w:val="Normal"/>
        <w:spacing w:lineRule="auto" w:line="240" w:before="120" w:after="0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</w:r>
    </w:p>
    <w:p>
      <w:pPr>
        <w:pStyle w:val="Normal"/>
        <w:spacing w:lineRule="auto" w:line="240" w:before="120" w:after="0"/>
        <w:jc w:val="both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 xml:space="preserve">Konkurs jest adresowany do organizacji pozarządowych i podmiotów wymienionych w art. 3 </w:t>
        <w:br/>
        <w:t>ust. 3 ustawy o działalności pożytku publicznego i o wolontariacie, zwanymi dalej podmiotami.</w:t>
      </w:r>
    </w:p>
    <w:p>
      <w:pPr>
        <w:pStyle w:val="Normal"/>
        <w:spacing w:lineRule="auto" w:line="240" w:before="120" w:after="0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</w:r>
    </w:p>
    <w:p>
      <w:pPr>
        <w:pStyle w:val="Normal"/>
        <w:numPr>
          <w:ilvl w:val="0"/>
          <w:numId w:val="1"/>
        </w:numPr>
        <w:spacing w:lineRule="auto" w:line="240" w:before="120" w:after="0"/>
        <w:rPr>
          <w:rFonts w:cs="Calibri" w:cstheme="minorHAnsi"/>
          <w:b/>
          <w:bCs/>
          <w:sz w:val="24"/>
          <w:szCs w:val="24"/>
        </w:rPr>
      </w:pPr>
      <w:r>
        <w:rPr>
          <w:rFonts w:cs="Calibri" w:cstheme="minorHAnsi"/>
          <w:b/>
          <w:bCs/>
          <w:sz w:val="24"/>
          <w:szCs w:val="24"/>
        </w:rPr>
        <w:t>Rodzaj zadania</w:t>
      </w:r>
    </w:p>
    <w:p>
      <w:pPr>
        <w:pStyle w:val="Normal"/>
        <w:spacing w:lineRule="auto" w:line="240" w:before="120" w:after="0"/>
        <w:rPr>
          <w:rFonts w:cs="Calibri" w:cstheme="minorHAnsi"/>
          <w:b/>
          <w:bCs/>
          <w:sz w:val="24"/>
          <w:szCs w:val="24"/>
        </w:rPr>
      </w:pPr>
      <w:r>
        <w:rPr>
          <w:rFonts w:cs="Calibri" w:cstheme="minorHAnsi"/>
          <w:sz w:val="24"/>
          <w:szCs w:val="24"/>
        </w:rPr>
        <w:t>Zadania z zakresu edukacji ekologicznej, działań na rzecz ekologii i ochrony środowiska:</w:t>
      </w:r>
      <w:r>
        <w:rPr>
          <w:rFonts w:cs="Calibri" w:cstheme="minorHAnsi"/>
          <w:b/>
          <w:bCs/>
          <w:sz w:val="24"/>
          <w:szCs w:val="24"/>
        </w:rPr>
        <w:t xml:space="preserve"> </w:t>
      </w:r>
    </w:p>
    <w:p>
      <w:pPr>
        <w:pStyle w:val="Normal"/>
        <w:spacing w:lineRule="auto" w:line="240" w:before="120" w:after="0"/>
        <w:rPr>
          <w:rFonts w:cs="Calibri" w:cstheme="minorHAnsi"/>
          <w:b/>
          <w:bCs/>
          <w:sz w:val="24"/>
          <w:szCs w:val="24"/>
        </w:rPr>
      </w:pPr>
      <w:r>
        <w:rPr>
          <w:rFonts w:cs="Calibri" w:cstheme="minorHAnsi"/>
          <w:b/>
          <w:bCs/>
          <w:sz w:val="24"/>
          <w:szCs w:val="24"/>
        </w:rPr>
        <w:t>Nazwa zadania</w:t>
      </w:r>
    </w:p>
    <w:p>
      <w:pPr>
        <w:pStyle w:val="Normal"/>
        <w:spacing w:lineRule="auto" w:line="240" w:before="120" w:after="0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 xml:space="preserve">Część I - </w:t>
      </w:r>
      <w:r>
        <w:rPr>
          <w:rFonts w:cs="Calibri" w:cstheme="minorHAnsi"/>
          <w:b/>
          <w:bCs/>
          <w:sz w:val="24"/>
          <w:szCs w:val="24"/>
        </w:rPr>
        <w:t>Prowadzenie edukacji ekologicznej dzieci i młodzieży</w:t>
      </w:r>
      <w:r>
        <w:rPr>
          <w:rFonts w:cs="Calibri" w:cstheme="minorHAnsi"/>
          <w:sz w:val="24"/>
          <w:szCs w:val="24"/>
        </w:rPr>
        <w:t>.</w:t>
      </w:r>
    </w:p>
    <w:p>
      <w:pPr>
        <w:pStyle w:val="Normal"/>
        <w:spacing w:lineRule="auto" w:line="240" w:before="120" w:after="0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 xml:space="preserve">Część II - </w:t>
      </w:r>
      <w:r>
        <w:rPr>
          <w:rFonts w:cs="Calibri" w:cstheme="minorHAnsi"/>
          <w:b/>
          <w:bCs/>
          <w:sz w:val="24"/>
          <w:szCs w:val="24"/>
        </w:rPr>
        <w:t>Propagowanie ekologicznego stylu życia wśród dorosłych mieszkańców miasta</w:t>
      </w:r>
      <w:r>
        <w:rPr>
          <w:rFonts w:cs="Calibri" w:cstheme="minorHAnsi"/>
          <w:sz w:val="24"/>
          <w:szCs w:val="24"/>
        </w:rPr>
        <w:t>.</w:t>
      </w:r>
    </w:p>
    <w:p>
      <w:pPr>
        <w:pStyle w:val="Normal"/>
        <w:spacing w:lineRule="auto" w:line="240" w:before="120" w:after="0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</w:r>
    </w:p>
    <w:p>
      <w:pPr>
        <w:pStyle w:val="Normal"/>
        <w:numPr>
          <w:ilvl w:val="0"/>
          <w:numId w:val="1"/>
        </w:numPr>
        <w:spacing w:lineRule="auto" w:line="240" w:before="120" w:after="0"/>
        <w:rPr>
          <w:rFonts w:cs="Calibri" w:cstheme="minorHAnsi"/>
          <w:b/>
          <w:bCs/>
          <w:sz w:val="24"/>
          <w:szCs w:val="24"/>
        </w:rPr>
      </w:pPr>
      <w:r>
        <w:rPr>
          <w:rFonts w:cs="Calibri" w:cstheme="minorHAnsi"/>
          <w:b/>
          <w:bCs/>
          <w:sz w:val="24"/>
          <w:szCs w:val="24"/>
        </w:rPr>
        <w:t>Wysokość środków publicznych przeznaczonych na realizację zadania</w:t>
      </w:r>
    </w:p>
    <w:p>
      <w:pPr>
        <w:pStyle w:val="Normal"/>
        <w:spacing w:lineRule="auto" w:line="240" w:before="120" w:after="0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W 2025 roku wysokość środków przeznaczonych na zadanie wyniesie:</w:t>
      </w:r>
    </w:p>
    <w:p>
      <w:pPr>
        <w:pStyle w:val="Normal"/>
        <w:spacing w:lineRule="auto" w:line="240" w:before="120" w:after="0"/>
        <w:rPr/>
      </w:pPr>
      <w:r>
        <w:rPr>
          <w:rFonts w:cs="Calibri" w:cstheme="minorHAnsi"/>
          <w:color w:val="000000"/>
          <w:sz w:val="24"/>
          <w:szCs w:val="24"/>
        </w:rPr>
        <w:t>Część I - 16</w:t>
      </w:r>
      <w:r>
        <w:rPr>
          <w:rFonts w:cs="Calibri"/>
          <w:color w:val="000000"/>
          <w:sz w:val="24"/>
          <w:szCs w:val="24"/>
        </w:rPr>
        <w:t>.000,00 zł</w:t>
      </w:r>
    </w:p>
    <w:p>
      <w:pPr>
        <w:pStyle w:val="Normal"/>
        <w:spacing w:lineRule="auto" w:line="240" w:before="120" w:after="0"/>
        <w:rPr/>
      </w:pPr>
      <w:r>
        <w:rPr>
          <w:rFonts w:cs="Calibri"/>
          <w:color w:val="000000"/>
          <w:sz w:val="24"/>
          <w:szCs w:val="24"/>
        </w:rPr>
        <w:t>Część II - 24 000,00 zł</w:t>
      </w:r>
    </w:p>
    <w:p>
      <w:pPr>
        <w:pStyle w:val="Normal"/>
        <w:spacing w:lineRule="auto" w:line="240" w:before="120" w:after="0"/>
        <w:rPr/>
      </w:pPr>
      <w:r>
        <w:rPr>
          <w:rFonts w:cs="Calibri"/>
          <w:color w:val="000000"/>
          <w:sz w:val="24"/>
          <w:szCs w:val="24"/>
        </w:rPr>
        <w:t>Łącznie: 40 000,00 zł n</w:t>
      </w:r>
      <w:r>
        <w:rPr>
          <w:rFonts w:cs="Calibri" w:cstheme="minorHAnsi"/>
          <w:color w:val="000000"/>
          <w:sz w:val="24"/>
          <w:szCs w:val="24"/>
        </w:rPr>
        <w:t>a 2025 rok.</w:t>
      </w:r>
    </w:p>
    <w:p>
      <w:pPr>
        <w:pStyle w:val="Normal"/>
        <w:spacing w:lineRule="auto" w:line="240" w:before="120" w:after="0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Wysokość dotacji wyniesie - do 95% kosztów całego zadania.</w:t>
      </w:r>
    </w:p>
    <w:p>
      <w:pPr>
        <w:pStyle w:val="Normal"/>
        <w:spacing w:lineRule="auto" w:line="240" w:before="120" w:after="0"/>
        <w:jc w:val="both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Wkład własny co najmniej 5% całego zadania przy czym wkład własny mogą stanowić środki niefinansowe.</w:t>
      </w:r>
    </w:p>
    <w:p>
      <w:pPr>
        <w:pStyle w:val="Normal"/>
        <w:spacing w:lineRule="auto" w:line="240" w:before="120" w:after="0"/>
        <w:jc w:val="both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Prezydent Miasta Będzina może odmówić podmiotowi wyłonionemu w konkursie przyznania środków publicznych oraz podpisania umowy jeśli zakres realizowanego zadania będzie znacząco odbiegał od opisanego w ofercie lub jeśli podmiot lub jego reprezentanci utracą zdolność do czynności prawnych, zostaną ujawnione nieznane wcześniej okoliczności podważające wiarygodność składającego ofertę.</w:t>
      </w:r>
    </w:p>
    <w:p>
      <w:pPr>
        <w:pStyle w:val="Normal"/>
        <w:spacing w:lineRule="auto" w:line="240" w:before="120" w:after="0"/>
        <w:ind w:left="720"/>
        <w:rPr>
          <w:rFonts w:cs="Calibri" w:cstheme="minorHAnsi"/>
          <w:b/>
          <w:bCs/>
          <w:sz w:val="24"/>
          <w:szCs w:val="24"/>
        </w:rPr>
      </w:pPr>
      <w:r>
        <w:rPr>
          <w:rFonts w:cs="Calibri" w:cstheme="minorHAnsi"/>
          <w:b/>
          <w:bCs/>
          <w:sz w:val="24"/>
          <w:szCs w:val="24"/>
        </w:rPr>
      </w:r>
    </w:p>
    <w:p>
      <w:pPr>
        <w:pStyle w:val="Normal"/>
        <w:spacing w:lineRule="auto" w:line="240" w:before="120" w:after="0"/>
        <w:ind w:left="720"/>
        <w:rPr>
          <w:rFonts w:cs="Calibri" w:cstheme="minorHAnsi"/>
          <w:b/>
          <w:bCs/>
          <w:sz w:val="24"/>
          <w:szCs w:val="24"/>
        </w:rPr>
      </w:pPr>
      <w:r>
        <w:rPr>
          <w:rFonts w:cs="Calibri" w:cstheme="minorHAnsi"/>
          <w:b/>
          <w:bCs/>
          <w:sz w:val="24"/>
          <w:szCs w:val="24"/>
        </w:rPr>
      </w:r>
    </w:p>
    <w:p>
      <w:pPr>
        <w:pStyle w:val="Normal"/>
        <w:spacing w:lineRule="auto" w:line="240" w:before="120" w:after="0"/>
        <w:ind w:left="720"/>
        <w:rPr>
          <w:rFonts w:cs="Calibri" w:cstheme="minorHAnsi"/>
          <w:b/>
          <w:bCs/>
          <w:sz w:val="24"/>
          <w:szCs w:val="24"/>
        </w:rPr>
      </w:pPr>
      <w:r>
        <w:rPr>
          <w:rFonts w:cs="Calibri" w:cstheme="minorHAnsi"/>
          <w:b/>
          <w:bCs/>
          <w:sz w:val="24"/>
          <w:szCs w:val="24"/>
        </w:rPr>
      </w:r>
    </w:p>
    <w:p>
      <w:pPr>
        <w:pStyle w:val="Normal"/>
        <w:numPr>
          <w:ilvl w:val="0"/>
          <w:numId w:val="1"/>
        </w:numPr>
        <w:spacing w:lineRule="auto" w:line="240" w:before="120" w:after="0"/>
        <w:rPr>
          <w:rFonts w:cs="Calibri" w:cstheme="minorHAnsi"/>
          <w:b/>
          <w:bCs/>
          <w:sz w:val="24"/>
          <w:szCs w:val="24"/>
        </w:rPr>
      </w:pPr>
      <w:r>
        <w:rPr>
          <w:rFonts w:cs="Calibri" w:cstheme="minorHAnsi"/>
          <w:b/>
          <w:bCs/>
          <w:sz w:val="24"/>
          <w:szCs w:val="24"/>
        </w:rPr>
        <w:t xml:space="preserve">Cel konkursu i oczekiwane rezultaty </w:t>
      </w:r>
    </w:p>
    <w:p>
      <w:pPr>
        <w:pStyle w:val="Normal"/>
        <w:numPr>
          <w:ilvl w:val="0"/>
          <w:numId w:val="18"/>
        </w:numPr>
        <w:spacing w:lineRule="auto" w:line="240" w:before="120" w:after="0"/>
        <w:ind w:hanging="284" w:left="284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Cel konkursu:</w:t>
      </w:r>
    </w:p>
    <w:p>
      <w:pPr>
        <w:pStyle w:val="Normal"/>
        <w:spacing w:lineRule="auto" w:line="240" w:before="120" w:after="0"/>
        <w:ind w:left="284"/>
        <w:jc w:val="both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Podnoszenie świadomości ekologicznej oraz propagowanie działań i zachowań proekologicznych.</w:t>
      </w:r>
    </w:p>
    <w:p>
      <w:pPr>
        <w:pStyle w:val="Normal"/>
        <w:numPr>
          <w:ilvl w:val="0"/>
          <w:numId w:val="18"/>
        </w:numPr>
        <w:spacing w:lineRule="auto" w:line="240" w:before="120" w:after="0"/>
        <w:ind w:hanging="284" w:left="284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Oczekiwane rezultaty zleconego zadania:</w:t>
      </w:r>
    </w:p>
    <w:p>
      <w:pPr>
        <w:pStyle w:val="Normal"/>
        <w:numPr>
          <w:ilvl w:val="0"/>
          <w:numId w:val="19"/>
        </w:numPr>
        <w:spacing w:lineRule="auto" w:line="240" w:before="120" w:after="0"/>
        <w:ind w:hanging="283" w:left="709"/>
        <w:jc w:val="both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liczba wydarzeń tematycznych promujących dbałość o środowisko;</w:t>
      </w:r>
    </w:p>
    <w:p>
      <w:pPr>
        <w:pStyle w:val="Normal"/>
        <w:numPr>
          <w:ilvl w:val="0"/>
          <w:numId w:val="19"/>
        </w:numPr>
        <w:spacing w:lineRule="auto" w:line="240" w:before="120" w:after="0"/>
        <w:ind w:hanging="283" w:left="709"/>
        <w:jc w:val="both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liczba działań mających na celu poprawę stanu środowiska;</w:t>
      </w:r>
    </w:p>
    <w:p>
      <w:pPr>
        <w:pStyle w:val="Normal"/>
        <w:numPr>
          <w:ilvl w:val="0"/>
          <w:numId w:val="19"/>
        </w:numPr>
        <w:spacing w:lineRule="auto" w:line="240" w:before="120" w:after="0"/>
        <w:ind w:hanging="283" w:left="709"/>
        <w:jc w:val="both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liczb mieszkańców uczestniczących w działaniach na rzecz ekologii i ochrony środowiska;</w:t>
      </w:r>
    </w:p>
    <w:p>
      <w:pPr>
        <w:pStyle w:val="Normal"/>
        <w:numPr>
          <w:ilvl w:val="0"/>
          <w:numId w:val="19"/>
        </w:numPr>
        <w:spacing w:lineRule="auto" w:line="240" w:before="120" w:after="0"/>
        <w:ind w:hanging="283" w:left="709"/>
        <w:jc w:val="both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opracowywanie i upowszechnianie materiałów informacyjno-edukacyjnych zwiększających świadomość proekologiczną.</w:t>
      </w:r>
    </w:p>
    <w:p>
      <w:pPr>
        <w:pStyle w:val="Normal"/>
        <w:spacing w:lineRule="auto" w:line="240" w:before="120" w:after="0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</w:r>
    </w:p>
    <w:p>
      <w:pPr>
        <w:pStyle w:val="Normal"/>
        <w:numPr>
          <w:ilvl w:val="0"/>
          <w:numId w:val="1"/>
        </w:numPr>
        <w:spacing w:lineRule="auto" w:line="240" w:before="120" w:after="0"/>
        <w:rPr>
          <w:rFonts w:cs="Calibri" w:cstheme="minorHAnsi"/>
          <w:b/>
          <w:bCs/>
          <w:sz w:val="24"/>
          <w:szCs w:val="24"/>
        </w:rPr>
      </w:pPr>
      <w:r>
        <w:rPr>
          <w:rFonts w:cs="Calibri" w:cstheme="minorHAnsi"/>
          <w:b/>
          <w:bCs/>
          <w:sz w:val="24"/>
          <w:szCs w:val="24"/>
        </w:rPr>
        <w:t>Beneficjenci zadania</w:t>
      </w:r>
    </w:p>
    <w:p>
      <w:pPr>
        <w:pStyle w:val="Normal"/>
        <w:spacing w:lineRule="auto" w:line="240" w:before="120" w:after="0"/>
        <w:jc w:val="both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 xml:space="preserve">Mieszkańcy Będzina, w tym: osoby zamieszkujące, uczące się lub pracujące na terenie Będzina, </w:t>
        <w:br/>
        <w:t>w tym: dzieci, młodzież, dorośli oraz osoby w wieku senioralnym, tj.:</w:t>
      </w:r>
    </w:p>
    <w:p>
      <w:pPr>
        <w:pStyle w:val="Normal"/>
        <w:spacing w:lineRule="auto" w:line="240" w:before="120" w:after="0"/>
        <w:rPr/>
      </w:pPr>
      <w:r>
        <w:rPr>
          <w:rFonts w:cs="Calibri" w:cstheme="minorHAnsi"/>
          <w:sz w:val="24"/>
          <w:szCs w:val="24"/>
        </w:rPr>
        <w:t>a) dla części I - dzieci i młodzież, minimum 240 osób,</w:t>
      </w:r>
    </w:p>
    <w:p>
      <w:pPr>
        <w:pStyle w:val="Normal"/>
        <w:spacing w:lineRule="auto" w:line="240" w:before="120" w:after="0"/>
        <w:rPr/>
      </w:pPr>
      <w:r>
        <w:rPr>
          <w:rFonts w:cs="Calibri" w:cstheme="minorHAnsi"/>
          <w:sz w:val="24"/>
          <w:szCs w:val="24"/>
        </w:rPr>
        <w:t>b) dla części II - dorośli mieszkańcy, minimum 570 osób.</w:t>
      </w:r>
    </w:p>
    <w:p>
      <w:pPr>
        <w:pStyle w:val="Normal"/>
        <w:spacing w:lineRule="auto" w:line="240" w:before="120" w:after="0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</w:r>
    </w:p>
    <w:p>
      <w:pPr>
        <w:pStyle w:val="Normal"/>
        <w:numPr>
          <w:ilvl w:val="0"/>
          <w:numId w:val="1"/>
        </w:numPr>
        <w:spacing w:lineRule="auto" w:line="240" w:before="120" w:after="0"/>
        <w:rPr>
          <w:rFonts w:cs="Calibri" w:cstheme="minorHAnsi"/>
          <w:b/>
          <w:bCs/>
          <w:sz w:val="24"/>
          <w:szCs w:val="24"/>
        </w:rPr>
      </w:pPr>
      <w:r>
        <w:rPr>
          <w:rFonts w:cs="Calibri" w:cstheme="minorHAnsi"/>
          <w:b/>
          <w:bCs/>
          <w:sz w:val="24"/>
          <w:szCs w:val="24"/>
        </w:rPr>
        <w:t>Zakres przedmiotowy realizowanego zadania</w:t>
      </w:r>
    </w:p>
    <w:p>
      <w:pPr>
        <w:pStyle w:val="Normal"/>
        <w:spacing w:lineRule="auto" w:line="240" w:before="120" w:after="0"/>
        <w:rPr>
          <w:rFonts w:cs="Calibri" w:cstheme="minorHAnsi"/>
          <w:b/>
          <w:bCs/>
          <w:sz w:val="24"/>
          <w:szCs w:val="24"/>
        </w:rPr>
      </w:pPr>
      <w:r>
        <w:rPr>
          <w:rFonts w:cs="Calibri" w:cstheme="minorHAnsi"/>
          <w:b/>
          <w:bCs/>
          <w:sz w:val="24"/>
          <w:szCs w:val="24"/>
        </w:rPr>
        <w:t>1. CZĘŚĆ I</w:t>
      </w:r>
    </w:p>
    <w:p>
      <w:pPr>
        <w:pStyle w:val="Normal"/>
        <w:spacing w:lineRule="auto" w:line="240" w:before="120" w:after="0"/>
        <w:jc w:val="both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 xml:space="preserve">Zadaniem podmiotu wybranego do realizacji zadania będzie organizacja nw. działań w zakresie </w:t>
      </w:r>
      <w:r>
        <w:rPr>
          <w:rFonts w:cs="Calibri" w:cstheme="minorHAnsi"/>
          <w:b/>
          <w:bCs/>
          <w:sz w:val="24"/>
          <w:szCs w:val="24"/>
        </w:rPr>
        <w:t>prowadzenia edukacji ekologicznej dzieci i młodzieży</w:t>
      </w:r>
      <w:r>
        <w:rPr>
          <w:rFonts w:cs="Calibri" w:cstheme="minorHAnsi"/>
          <w:sz w:val="24"/>
          <w:szCs w:val="24"/>
        </w:rPr>
        <w:t>, dla minimum 240 uczestników (min. 20 os./cykl) dla następujących zagadnień:</w:t>
      </w:r>
    </w:p>
    <w:p>
      <w:pPr>
        <w:pStyle w:val="Normal"/>
        <w:spacing w:lineRule="auto" w:line="240" w:before="120" w:after="0"/>
        <w:jc w:val="both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- edukacja w zakresie zachowań proekologicznych,</w:t>
      </w:r>
    </w:p>
    <w:p>
      <w:pPr>
        <w:pStyle w:val="Normal"/>
        <w:spacing w:lineRule="auto" w:line="240" w:before="120" w:after="0"/>
        <w:jc w:val="both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- ochrona bioróżnorodności,</w:t>
      </w:r>
    </w:p>
    <w:p>
      <w:pPr>
        <w:pStyle w:val="Normal"/>
        <w:spacing w:lineRule="auto" w:line="240" w:before="120" w:after="0"/>
        <w:jc w:val="both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- zmiany klimatyczne,</w:t>
      </w:r>
    </w:p>
    <w:p>
      <w:pPr>
        <w:pStyle w:val="Normal"/>
        <w:spacing w:lineRule="auto" w:line="240" w:before="120" w:after="0"/>
        <w:jc w:val="both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 xml:space="preserve">- gospodarka odpadami, </w:t>
      </w:r>
    </w:p>
    <w:p>
      <w:pPr>
        <w:pStyle w:val="Normal"/>
        <w:spacing w:lineRule="auto" w:line="240" w:before="120" w:after="0"/>
        <w:jc w:val="both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- ochrona powietrza,</w:t>
      </w:r>
    </w:p>
    <w:p>
      <w:pPr>
        <w:pStyle w:val="Normal"/>
        <w:spacing w:lineRule="auto" w:line="240" w:before="120" w:after="0"/>
        <w:jc w:val="both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- energia odnawialna.</w:t>
      </w:r>
    </w:p>
    <w:p>
      <w:pPr>
        <w:pStyle w:val="Normal"/>
        <w:spacing w:lineRule="auto" w:line="240" w:before="120" w:after="0"/>
        <w:rPr>
          <w:rFonts w:cs="Calibri" w:cstheme="minorHAnsi"/>
          <w:sz w:val="24"/>
          <w:szCs w:val="24"/>
          <w:u w:val="single"/>
        </w:rPr>
      </w:pPr>
      <w:r>
        <w:rPr>
          <w:rFonts w:cs="Calibri" w:cstheme="minorHAnsi"/>
          <w:sz w:val="24"/>
          <w:szCs w:val="24"/>
          <w:u w:val="single"/>
        </w:rPr>
      </w:r>
    </w:p>
    <w:p>
      <w:pPr>
        <w:pStyle w:val="Normal"/>
        <w:spacing w:lineRule="auto" w:line="240" w:before="120" w:after="0"/>
        <w:rPr>
          <w:rFonts w:cs="Calibri" w:cstheme="minorHAnsi"/>
          <w:sz w:val="24"/>
          <w:szCs w:val="24"/>
          <w:u w:val="single"/>
        </w:rPr>
      </w:pPr>
      <w:r>
        <w:rPr>
          <w:rFonts w:cs="Calibri" w:cstheme="minorHAnsi"/>
          <w:sz w:val="24"/>
          <w:szCs w:val="24"/>
          <w:u w:val="single"/>
        </w:rPr>
        <w:t>Działania edukacyjne i świadomościowe z zakresu ekologii:</w:t>
      </w:r>
    </w:p>
    <w:p>
      <w:pPr>
        <w:pStyle w:val="Normal"/>
        <w:spacing w:lineRule="auto" w:line="240" w:before="120" w:after="0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a) Warsztaty - 6 cykli po 3 godziny,</w:t>
      </w:r>
    </w:p>
    <w:p>
      <w:pPr>
        <w:pStyle w:val="Normal"/>
        <w:spacing w:lineRule="auto" w:line="240" w:before="120" w:after="0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b) Festyny, pikniki - 3 cykle po 4 godziny,</w:t>
      </w:r>
    </w:p>
    <w:p>
      <w:pPr>
        <w:pStyle w:val="Normal"/>
        <w:spacing w:lineRule="auto" w:line="240" w:before="120" w:after="0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c) Zajęcia dydaktyczne w plenerze, spacer edukacyjny – 3 cykle po 4 godziny.</w:t>
      </w:r>
    </w:p>
    <w:p>
      <w:pPr>
        <w:pStyle w:val="Normal"/>
        <w:spacing w:lineRule="auto" w:line="240" w:before="120" w:after="0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</w:r>
    </w:p>
    <w:p>
      <w:pPr>
        <w:pStyle w:val="Normal"/>
        <w:spacing w:lineRule="auto" w:line="240" w:before="120" w:after="0"/>
        <w:rPr>
          <w:rFonts w:cs="Calibri" w:cstheme="minorHAnsi"/>
          <w:b/>
          <w:bCs/>
          <w:sz w:val="24"/>
          <w:szCs w:val="24"/>
        </w:rPr>
      </w:pPr>
      <w:r>
        <w:rPr>
          <w:rFonts w:cs="Calibri" w:cstheme="minorHAnsi"/>
          <w:b/>
          <w:bCs/>
          <w:sz w:val="24"/>
          <w:szCs w:val="24"/>
        </w:rPr>
        <w:t>2. CZĘŚĆ II</w:t>
      </w:r>
    </w:p>
    <w:p>
      <w:pPr>
        <w:pStyle w:val="Normal"/>
        <w:spacing w:lineRule="auto" w:line="240" w:before="120" w:after="0"/>
        <w:jc w:val="both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 xml:space="preserve">Zadaniem podmiotu wybranego do realizacji zadania będzie organizacja nw. działań w zakresie </w:t>
      </w:r>
      <w:r>
        <w:rPr>
          <w:rFonts w:cs="Calibri" w:cstheme="minorHAnsi"/>
          <w:b/>
          <w:bCs/>
          <w:sz w:val="24"/>
          <w:szCs w:val="24"/>
        </w:rPr>
        <w:t>propagowania ekologicznego stylu życia wśród dorosłych mieszkańców miasta</w:t>
      </w:r>
      <w:r>
        <w:rPr>
          <w:rFonts w:cs="Calibri" w:cstheme="minorHAnsi"/>
          <w:sz w:val="24"/>
          <w:szCs w:val="24"/>
        </w:rPr>
        <w:t>, dla minimum 570 uczestników (min. 30 os./cykl) dla następujących zagadnień:</w:t>
      </w:r>
    </w:p>
    <w:p>
      <w:pPr>
        <w:pStyle w:val="Normal"/>
        <w:spacing w:lineRule="auto" w:line="240" w:before="120" w:after="0"/>
        <w:jc w:val="both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- ochrona bioróżnorodności,</w:t>
      </w:r>
    </w:p>
    <w:p>
      <w:pPr>
        <w:pStyle w:val="Normal"/>
        <w:spacing w:lineRule="auto" w:line="240" w:before="120" w:after="0"/>
        <w:jc w:val="both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- zmiany klimatyczne,</w:t>
      </w:r>
    </w:p>
    <w:p>
      <w:pPr>
        <w:pStyle w:val="Normal"/>
        <w:spacing w:lineRule="auto" w:line="240" w:before="120" w:after="0"/>
        <w:jc w:val="both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- gospodarka odpadami, Zero Waste,</w:t>
      </w:r>
    </w:p>
    <w:p>
      <w:pPr>
        <w:pStyle w:val="Normal"/>
        <w:spacing w:lineRule="auto" w:line="240" w:before="120" w:after="0"/>
        <w:jc w:val="both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- ochrona powietrza,</w:t>
      </w:r>
    </w:p>
    <w:p>
      <w:pPr>
        <w:pStyle w:val="Normal"/>
        <w:spacing w:lineRule="auto" w:line="240" w:before="120" w:after="0"/>
        <w:jc w:val="both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- energia odnawialna.</w:t>
      </w:r>
    </w:p>
    <w:p>
      <w:pPr>
        <w:pStyle w:val="Normal"/>
        <w:spacing w:lineRule="auto" w:line="240" w:before="120" w:after="0"/>
        <w:jc w:val="both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</w:r>
    </w:p>
    <w:p>
      <w:pPr>
        <w:pStyle w:val="Normal"/>
        <w:spacing w:lineRule="auto" w:line="240" w:before="120" w:after="0"/>
        <w:rPr>
          <w:rFonts w:cs="Calibri" w:cstheme="minorHAnsi"/>
          <w:sz w:val="24"/>
          <w:szCs w:val="24"/>
          <w:u w:val="single"/>
        </w:rPr>
      </w:pPr>
      <w:r>
        <w:rPr>
          <w:rFonts w:cs="Calibri" w:cstheme="minorHAnsi"/>
          <w:sz w:val="24"/>
          <w:szCs w:val="24"/>
          <w:u w:val="single"/>
        </w:rPr>
        <w:t>Działania edukacyjne i świadomościowe z zakresu ekologii:</w:t>
      </w:r>
    </w:p>
    <w:p>
      <w:pPr>
        <w:pStyle w:val="Normal"/>
        <w:spacing w:lineRule="auto" w:line="240" w:before="120" w:after="0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a) Warsztaty - 8 cykli po 3 godziny,</w:t>
      </w:r>
    </w:p>
    <w:p>
      <w:pPr>
        <w:pStyle w:val="Normal"/>
        <w:spacing w:lineRule="auto" w:line="240" w:before="120" w:after="0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b) Wykłady - 8 cykli po 3 godziny,</w:t>
      </w:r>
    </w:p>
    <w:p>
      <w:pPr>
        <w:pStyle w:val="Normal"/>
        <w:spacing w:lineRule="auto" w:line="240" w:before="120" w:after="0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c) Zajęcia dydaktyczne w plenerze, spacer edukacyjny – 3 cykle po 4 godziny,</w:t>
      </w:r>
    </w:p>
    <w:p>
      <w:pPr>
        <w:pStyle w:val="Normal"/>
        <w:spacing w:lineRule="auto" w:line="240" w:before="120" w:after="0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</w:r>
    </w:p>
    <w:p>
      <w:pPr>
        <w:pStyle w:val="Normal"/>
        <w:numPr>
          <w:ilvl w:val="0"/>
          <w:numId w:val="1"/>
        </w:numPr>
        <w:spacing w:lineRule="auto" w:line="240" w:before="120" w:after="0"/>
        <w:rPr>
          <w:rFonts w:cs="Calibri" w:cstheme="minorHAnsi"/>
          <w:b/>
          <w:bCs/>
          <w:sz w:val="24"/>
          <w:szCs w:val="24"/>
        </w:rPr>
      </w:pPr>
      <w:r>
        <w:rPr>
          <w:rFonts w:cs="Calibri" w:cstheme="minorHAnsi"/>
          <w:b/>
          <w:bCs/>
          <w:sz w:val="24"/>
          <w:szCs w:val="24"/>
        </w:rPr>
        <w:t>Koszty pokrywane z dotacji</w:t>
      </w:r>
    </w:p>
    <w:p>
      <w:pPr>
        <w:pStyle w:val="Normal"/>
        <w:numPr>
          <w:ilvl w:val="0"/>
          <w:numId w:val="2"/>
        </w:numPr>
        <w:spacing w:lineRule="auto" w:line="240" w:before="120" w:after="0"/>
        <w:ind w:hanging="284" w:left="284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Koszty pokrywane z dotacji:</w:t>
      </w:r>
    </w:p>
    <w:p>
      <w:pPr>
        <w:pStyle w:val="Normal"/>
        <w:numPr>
          <w:ilvl w:val="0"/>
          <w:numId w:val="3"/>
        </w:numPr>
        <w:spacing w:lineRule="auto" w:line="240" w:before="120" w:after="0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zakup nagród dla uczestników imprez i konkursów,</w:t>
      </w:r>
    </w:p>
    <w:p>
      <w:pPr>
        <w:pStyle w:val="Normal"/>
        <w:numPr>
          <w:ilvl w:val="0"/>
          <w:numId w:val="3"/>
        </w:numPr>
        <w:spacing w:lineRule="auto" w:line="240" w:before="120" w:after="0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druk materiałów informacyjnych,</w:t>
      </w:r>
    </w:p>
    <w:p>
      <w:pPr>
        <w:pStyle w:val="Normal"/>
        <w:numPr>
          <w:ilvl w:val="0"/>
          <w:numId w:val="3"/>
        </w:numPr>
        <w:spacing w:lineRule="auto" w:line="240" w:before="120" w:after="0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opłata za wynajem sal i obiektów,</w:t>
      </w:r>
    </w:p>
    <w:p>
      <w:pPr>
        <w:pStyle w:val="Normal"/>
        <w:numPr>
          <w:ilvl w:val="0"/>
          <w:numId w:val="3"/>
        </w:numPr>
        <w:spacing w:lineRule="auto" w:line="240" w:before="120" w:after="0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zakup innych niezbędnych do realizacji zadania materiałów i usług,</w:t>
      </w:r>
    </w:p>
    <w:p>
      <w:pPr>
        <w:pStyle w:val="Normal"/>
        <w:numPr>
          <w:ilvl w:val="0"/>
          <w:numId w:val="3"/>
        </w:numPr>
        <w:spacing w:lineRule="auto" w:line="240" w:before="120" w:after="0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transport, wyżywienie niezbędne do realizacji zadania,</w:t>
      </w:r>
    </w:p>
    <w:p>
      <w:pPr>
        <w:pStyle w:val="Normal"/>
        <w:numPr>
          <w:ilvl w:val="0"/>
          <w:numId w:val="3"/>
        </w:numPr>
        <w:spacing w:lineRule="auto" w:line="240" w:before="120" w:after="0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prezentacja w mediach,</w:t>
      </w:r>
    </w:p>
    <w:p>
      <w:pPr>
        <w:pStyle w:val="Normal"/>
        <w:numPr>
          <w:ilvl w:val="0"/>
          <w:numId w:val="2"/>
        </w:numPr>
        <w:spacing w:lineRule="auto" w:line="240" w:before="120" w:after="0"/>
        <w:ind w:hanging="284" w:left="284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Dotacja nie może być przeznaczona na:</w:t>
      </w:r>
    </w:p>
    <w:p>
      <w:pPr>
        <w:pStyle w:val="Normal"/>
        <w:numPr>
          <w:ilvl w:val="0"/>
          <w:numId w:val="4"/>
        </w:numPr>
        <w:spacing w:lineRule="auto" w:line="240" w:before="120" w:after="0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remonty obiektów,</w:t>
      </w:r>
    </w:p>
    <w:p>
      <w:pPr>
        <w:pStyle w:val="Normal"/>
        <w:numPr>
          <w:ilvl w:val="0"/>
          <w:numId w:val="4"/>
        </w:numPr>
        <w:spacing w:lineRule="auto" w:line="240" w:before="120" w:after="0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zakupy majątkowe i inwestycyjne,</w:t>
      </w:r>
    </w:p>
    <w:p>
      <w:pPr>
        <w:pStyle w:val="Normal"/>
        <w:numPr>
          <w:ilvl w:val="0"/>
          <w:numId w:val="4"/>
        </w:numPr>
        <w:spacing w:lineRule="auto" w:line="240" w:before="120" w:after="0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działalność gospodarczą,</w:t>
      </w:r>
    </w:p>
    <w:p>
      <w:pPr>
        <w:pStyle w:val="Normal"/>
        <w:numPr>
          <w:ilvl w:val="0"/>
          <w:numId w:val="4"/>
        </w:numPr>
        <w:spacing w:lineRule="auto" w:line="240" w:before="120" w:after="0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zobowiązania powstałe przed datą zawarcia umowy o udzielenie dotacji,</w:t>
      </w:r>
    </w:p>
    <w:p>
      <w:pPr>
        <w:pStyle w:val="Normal"/>
        <w:numPr>
          <w:ilvl w:val="0"/>
          <w:numId w:val="4"/>
        </w:numPr>
        <w:spacing w:lineRule="auto" w:line="240" w:before="120" w:after="0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koszty stałe podmiotów, w tym utrzymanie biura (rachunki telefoniczne itp.),</w:t>
      </w:r>
    </w:p>
    <w:p>
      <w:pPr>
        <w:pStyle w:val="Normal"/>
        <w:numPr>
          <w:ilvl w:val="0"/>
          <w:numId w:val="4"/>
        </w:numPr>
        <w:spacing w:lineRule="auto" w:line="240" w:before="120" w:after="0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opłaty leasingowe oraz zobowiązania z tytułu otrzymanych kredytów,</w:t>
      </w:r>
    </w:p>
    <w:p>
      <w:pPr>
        <w:pStyle w:val="Normal"/>
        <w:numPr>
          <w:ilvl w:val="0"/>
          <w:numId w:val="4"/>
        </w:numPr>
        <w:spacing w:lineRule="auto" w:line="240" w:before="120" w:after="0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nabycie lub dzierżawy gruntów,</w:t>
      </w:r>
    </w:p>
    <w:p>
      <w:pPr>
        <w:pStyle w:val="Normal"/>
        <w:numPr>
          <w:ilvl w:val="0"/>
          <w:numId w:val="4"/>
        </w:numPr>
        <w:spacing w:lineRule="auto" w:line="240" w:before="120" w:after="0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odsetki karne i kary.</w:t>
      </w:r>
    </w:p>
    <w:p>
      <w:pPr>
        <w:pStyle w:val="Normal"/>
        <w:spacing w:lineRule="auto" w:line="240" w:before="120" w:after="0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</w:r>
    </w:p>
    <w:p>
      <w:pPr>
        <w:pStyle w:val="Normal"/>
        <w:numPr>
          <w:ilvl w:val="0"/>
          <w:numId w:val="1"/>
        </w:numPr>
        <w:spacing w:lineRule="auto" w:line="240" w:before="120" w:after="0"/>
        <w:rPr>
          <w:rFonts w:cs="Calibri" w:cstheme="minorHAnsi"/>
          <w:b/>
          <w:bCs/>
          <w:sz w:val="24"/>
          <w:szCs w:val="24"/>
        </w:rPr>
      </w:pPr>
      <w:r>
        <w:rPr>
          <w:rFonts w:cs="Calibri" w:cstheme="minorHAnsi"/>
          <w:b/>
          <w:bCs/>
          <w:sz w:val="24"/>
          <w:szCs w:val="24"/>
        </w:rPr>
        <w:t>Przesunięcia budżetowe dokonywane w trakcie realizacji zadania publicznego</w:t>
      </w:r>
    </w:p>
    <w:p>
      <w:pPr>
        <w:pStyle w:val="Normal"/>
        <w:numPr>
          <w:ilvl w:val="0"/>
          <w:numId w:val="5"/>
        </w:numPr>
        <w:spacing w:lineRule="auto" w:line="240" w:before="120" w:after="0"/>
        <w:ind w:hanging="284" w:left="284"/>
        <w:jc w:val="both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Zleceniodawca dopuszcza przesunięcia pomiędzy poszczególnymi pozycjami kosztorysu finansowanymi z dotacji, w granicach 10% wartości poszczególnych pozycji (chyba, że przepisy stanowią inaczej) bez konieczności uprzedniego informowania Zleceniodawcy. Przesunięcia dokonane w tych granicach nie stanowią podstawy do zmiany umowy, ale należy je później uzasadnić w sprawozdaniu końcowym z wykonania zadania.</w:t>
      </w:r>
    </w:p>
    <w:p>
      <w:pPr>
        <w:pStyle w:val="Normal"/>
        <w:numPr>
          <w:ilvl w:val="0"/>
          <w:numId w:val="5"/>
        </w:numPr>
        <w:spacing w:lineRule="auto" w:line="240" w:before="120" w:after="0"/>
        <w:ind w:hanging="284" w:left="284"/>
        <w:jc w:val="both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Wszelkie przesunięcia wydatków w ramach przyznanej dotacji powyżej 10% danej pozycji kosztorysu wymagają zgody Zleceniodawcy. Wzrost wydatków z dotacji powyżej 10% danej pozycji kosztorysu, bez wymaganej zgody dotującego, traktowany będzie jako pobranie dotacji w nadmiernej wysokości i podlegać będzie zwrotowi wraz z odsetkami, liczonymi jak dla zaległości podatkowych od dnia przekazania dotacji.</w:t>
      </w:r>
    </w:p>
    <w:p>
      <w:pPr>
        <w:pStyle w:val="Normal"/>
        <w:spacing w:lineRule="auto" w:line="240" w:before="120" w:after="0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</w:r>
    </w:p>
    <w:p>
      <w:pPr>
        <w:pStyle w:val="Normal"/>
        <w:numPr>
          <w:ilvl w:val="0"/>
          <w:numId w:val="1"/>
        </w:numPr>
        <w:spacing w:lineRule="auto" w:line="240" w:before="120" w:after="0"/>
        <w:rPr>
          <w:rFonts w:cs="Calibri" w:cstheme="minorHAnsi"/>
          <w:b/>
          <w:bCs/>
          <w:sz w:val="24"/>
          <w:szCs w:val="24"/>
        </w:rPr>
      </w:pPr>
      <w:r>
        <w:rPr>
          <w:rFonts w:cs="Calibri" w:cstheme="minorHAnsi"/>
          <w:b/>
          <w:bCs/>
          <w:sz w:val="24"/>
          <w:szCs w:val="24"/>
        </w:rPr>
        <w:t>Zasady przyznania dotacji</w:t>
      </w:r>
    </w:p>
    <w:p>
      <w:pPr>
        <w:pStyle w:val="Normal"/>
        <w:numPr>
          <w:ilvl w:val="0"/>
          <w:numId w:val="6"/>
        </w:numPr>
        <w:spacing w:lineRule="auto" w:line="240" w:before="120" w:after="0"/>
        <w:ind w:hanging="284" w:left="284"/>
        <w:jc w:val="both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 xml:space="preserve">O przyznanie dofinansowania w ramach otwartego konkursu ofert mogą się ubiegać organizacje pozarządowe, o których mowa w art. 3 ust. 2 ustawy z dnia 24 kwietnia 2003 r. </w:t>
        <w:br/>
        <w:t>o działalności pożytku publicznego i o wolontariacie (zwani dalej jako oferenci).</w:t>
      </w:r>
    </w:p>
    <w:p>
      <w:pPr>
        <w:pStyle w:val="Normal"/>
        <w:numPr>
          <w:ilvl w:val="0"/>
          <w:numId w:val="6"/>
        </w:numPr>
        <w:spacing w:lineRule="auto" w:line="240" w:before="120" w:after="0"/>
        <w:ind w:hanging="284" w:left="284"/>
        <w:jc w:val="both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Oferty, które nie spełnią wymogów formalnych, nie będą podlegać rozpatrywaniu pod względem merytorycznym.</w:t>
      </w:r>
    </w:p>
    <w:p>
      <w:pPr>
        <w:pStyle w:val="Normal"/>
        <w:numPr>
          <w:ilvl w:val="0"/>
          <w:numId w:val="6"/>
        </w:numPr>
        <w:spacing w:lineRule="auto" w:line="240" w:before="120" w:after="0"/>
        <w:ind w:hanging="284" w:left="284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Prezydent Miasta Będzin zastrzega sobie prawo do:</w:t>
      </w:r>
    </w:p>
    <w:p>
      <w:pPr>
        <w:pStyle w:val="Normal"/>
        <w:numPr>
          <w:ilvl w:val="0"/>
          <w:numId w:val="7"/>
        </w:numPr>
        <w:spacing w:lineRule="auto" w:line="240" w:before="120" w:after="0"/>
        <w:jc w:val="both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 xml:space="preserve">odstąpienia od ogłoszenia wyników otwartego konkursu ofert, bez podania przyczyny, </w:t>
        <w:br/>
        <w:t>w części lub w całości;</w:t>
      </w:r>
    </w:p>
    <w:p>
      <w:pPr>
        <w:pStyle w:val="Normal"/>
        <w:numPr>
          <w:ilvl w:val="0"/>
          <w:numId w:val="7"/>
        </w:numPr>
        <w:spacing w:lineRule="auto" w:line="240" w:before="120" w:after="0"/>
        <w:jc w:val="both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dofinansowania więcej niż jednej oferty, dofinansowania jednej oferty lub niedofinansowywania żadnej z ofert;</w:t>
      </w:r>
    </w:p>
    <w:p>
      <w:pPr>
        <w:pStyle w:val="Normal"/>
        <w:numPr>
          <w:ilvl w:val="0"/>
          <w:numId w:val="7"/>
        </w:numPr>
        <w:spacing w:lineRule="auto" w:line="240" w:before="120" w:after="0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zmniejszenia wysokości wnioskowanego dofinansowania.</w:t>
      </w:r>
    </w:p>
    <w:p>
      <w:pPr>
        <w:pStyle w:val="Normal"/>
        <w:spacing w:lineRule="auto" w:line="240" w:before="120" w:after="0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</w:r>
    </w:p>
    <w:p>
      <w:pPr>
        <w:pStyle w:val="Normal"/>
        <w:numPr>
          <w:ilvl w:val="0"/>
          <w:numId w:val="1"/>
        </w:numPr>
        <w:spacing w:lineRule="auto" w:line="240" w:before="120" w:after="0"/>
        <w:jc w:val="both"/>
        <w:rPr>
          <w:rFonts w:cs="Calibri" w:cstheme="minorHAnsi"/>
          <w:b/>
          <w:bCs/>
          <w:sz w:val="24"/>
          <w:szCs w:val="24"/>
        </w:rPr>
      </w:pPr>
      <w:r>
        <w:rPr>
          <w:rFonts w:cs="Calibri" w:cstheme="minorHAnsi"/>
          <w:b/>
          <w:bCs/>
          <w:sz w:val="24"/>
          <w:szCs w:val="24"/>
        </w:rPr>
        <w:t>Podmioty uczestniczące w otwartym konkursie ofert i ubiegające się o dotację na realizację zadania powinny spełniać warunki ogólne:</w:t>
      </w:r>
    </w:p>
    <w:p>
      <w:pPr>
        <w:pStyle w:val="Normal"/>
        <w:numPr>
          <w:ilvl w:val="0"/>
          <w:numId w:val="8"/>
        </w:numPr>
        <w:spacing w:lineRule="auto" w:line="240" w:before="120" w:after="0"/>
        <w:ind w:hanging="284" w:left="284"/>
        <w:jc w:val="both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 xml:space="preserve">Wypełnić ofertę, zgodnie z zasadami uczciwej konkurencji, gwarantującą wykonanie zadania </w:t>
        <w:br/>
        <w:t>w sposób efektywny, racjonalny, oszczędny i terminowy.</w:t>
      </w:r>
    </w:p>
    <w:p>
      <w:pPr>
        <w:pStyle w:val="Normal"/>
        <w:numPr>
          <w:ilvl w:val="0"/>
          <w:numId w:val="8"/>
        </w:numPr>
        <w:spacing w:lineRule="auto" w:line="240" w:before="120" w:after="0"/>
        <w:ind w:hanging="284" w:left="284"/>
        <w:jc w:val="both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Posiadać doświadczenie oraz wykwalifikowaną kadrę do realizacji konkretnego przedsięwzięcia.</w:t>
      </w:r>
    </w:p>
    <w:p>
      <w:pPr>
        <w:pStyle w:val="Normal"/>
        <w:numPr>
          <w:ilvl w:val="0"/>
          <w:numId w:val="8"/>
        </w:numPr>
        <w:spacing w:lineRule="auto" w:line="240" w:before="120" w:after="0"/>
        <w:ind w:hanging="284" w:left="284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Nie posiadać zadłużenia wobec Miasta Będzin.</w:t>
      </w:r>
    </w:p>
    <w:p>
      <w:pPr>
        <w:pStyle w:val="Normal"/>
        <w:numPr>
          <w:ilvl w:val="0"/>
          <w:numId w:val="8"/>
        </w:numPr>
        <w:spacing w:lineRule="auto" w:line="240" w:before="120" w:after="0"/>
        <w:ind w:hanging="284" w:left="284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Nie posiadać zadłużenia wobec Zakładu Ubezpieczeń Społecznych i Urzędu Skarbowego.</w:t>
      </w:r>
    </w:p>
    <w:p>
      <w:pPr>
        <w:pStyle w:val="Normal"/>
        <w:spacing w:lineRule="auto" w:line="240" w:before="120" w:after="0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</w:r>
    </w:p>
    <w:p>
      <w:pPr>
        <w:pStyle w:val="Normal"/>
        <w:numPr>
          <w:ilvl w:val="0"/>
          <w:numId w:val="1"/>
        </w:numPr>
        <w:spacing w:lineRule="auto" w:line="240" w:before="120" w:after="0"/>
        <w:rPr>
          <w:rFonts w:cs="Calibri" w:cstheme="minorHAnsi"/>
          <w:b/>
          <w:bCs/>
          <w:sz w:val="24"/>
          <w:szCs w:val="24"/>
        </w:rPr>
      </w:pPr>
      <w:r>
        <w:rPr>
          <w:rFonts w:cs="Calibri" w:cstheme="minorHAnsi"/>
          <w:b/>
          <w:bCs/>
          <w:sz w:val="24"/>
          <w:szCs w:val="24"/>
        </w:rPr>
        <w:t>Termin i sposób składania ofert</w:t>
      </w:r>
    </w:p>
    <w:p>
      <w:pPr>
        <w:pStyle w:val="Normal"/>
        <w:numPr>
          <w:ilvl w:val="1"/>
          <w:numId w:val="1"/>
        </w:numPr>
        <w:spacing w:lineRule="auto" w:line="240" w:before="120" w:after="0"/>
        <w:ind w:hanging="284" w:left="284"/>
        <w:jc w:val="both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 xml:space="preserve">Ofertę lub oferty należy przygotować oraz złożyć w terminie do </w:t>
      </w:r>
      <w:r>
        <w:rPr>
          <w:rFonts w:cs="Calibri" w:cstheme="minorHAnsi"/>
          <w:b/>
          <w:bCs/>
          <w:sz w:val="24"/>
          <w:szCs w:val="24"/>
        </w:rPr>
        <w:t>9.06.2025 r.</w:t>
      </w:r>
      <w:r>
        <w:rPr>
          <w:rFonts w:cs="Calibri" w:cstheme="minorHAnsi"/>
          <w:sz w:val="24"/>
          <w:szCs w:val="24"/>
        </w:rPr>
        <w:t xml:space="preserve"> w zaklejonej kopercie z dopiskiem </w:t>
      </w:r>
      <w:r>
        <w:rPr>
          <w:rFonts w:cs="Calibri" w:cstheme="minorHAnsi"/>
          <w:b/>
          <w:bCs/>
          <w:sz w:val="24"/>
          <w:szCs w:val="24"/>
        </w:rPr>
        <w:t>„Ekologia część ... - dotacje"</w:t>
      </w:r>
      <w:r>
        <w:rPr>
          <w:rFonts w:cs="Calibri" w:cstheme="minorHAnsi"/>
          <w:sz w:val="24"/>
          <w:szCs w:val="24"/>
        </w:rPr>
        <w:t xml:space="preserve"> w Biurze Obsługi Klienta Urzędu Miejskiego w Będzinie (parter) </w:t>
      </w:r>
      <w:r>
        <w:rPr>
          <w:sz w:val="24"/>
          <w:szCs w:val="24"/>
        </w:rPr>
        <w:t xml:space="preserve">lub wysłać pocztą (decyduje data wpływu do Urzędu Miejskiego) na adres: Urząd Miejski w Będzinie </w:t>
      </w:r>
      <w:r>
        <w:rPr>
          <w:rFonts w:cs="Calibri" w:cstheme="minorHAnsi"/>
          <w:sz w:val="24"/>
          <w:szCs w:val="24"/>
        </w:rPr>
        <w:t>ul. 11 Listopada 20, 42-500 Będzin.</w:t>
      </w:r>
    </w:p>
    <w:p>
      <w:pPr>
        <w:pStyle w:val="Normal"/>
        <w:numPr>
          <w:ilvl w:val="1"/>
          <w:numId w:val="1"/>
        </w:numPr>
        <w:spacing w:lineRule="auto" w:line="240" w:before="120" w:after="0"/>
        <w:ind w:hanging="284" w:left="284"/>
        <w:jc w:val="both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Oferta konkursowa powinna być kompletna i sporządzona zgodnie ze wzorem oferty określonym w załączniku nr 1 do Rozporządzenia Przewodniczącego Komitetu do Spraw Pożytku Publicznego w sprawie wzorów ofert i ramowych wzorów umów dotyczących realizacji zadań publicznych oraz wzorów sprawozdań z wykonania tych zadań (Dz. U. z 2018 r. poz. 2057) i zawierać:</w:t>
      </w:r>
    </w:p>
    <w:p>
      <w:pPr>
        <w:pStyle w:val="Normal"/>
        <w:numPr>
          <w:ilvl w:val="0"/>
          <w:numId w:val="10"/>
        </w:numPr>
        <w:spacing w:lineRule="auto" w:line="240" w:before="120" w:after="0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szczegółowy zakres rzeczowy zadania publicznego proponowanego do realizacji,</w:t>
      </w:r>
    </w:p>
    <w:p>
      <w:pPr>
        <w:pStyle w:val="Normal"/>
        <w:numPr>
          <w:ilvl w:val="0"/>
          <w:numId w:val="10"/>
        </w:numPr>
        <w:spacing w:lineRule="auto" w:line="240" w:before="120" w:after="0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termin i miejsce realizacji zadania publicznego,</w:t>
      </w:r>
    </w:p>
    <w:p>
      <w:pPr>
        <w:pStyle w:val="Normal"/>
        <w:numPr>
          <w:ilvl w:val="0"/>
          <w:numId w:val="10"/>
        </w:numPr>
        <w:spacing w:lineRule="auto" w:line="240" w:before="120" w:after="0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kalkulację przewidywanych kosztów realizacji zadania,</w:t>
      </w:r>
    </w:p>
    <w:p>
      <w:pPr>
        <w:pStyle w:val="Normal"/>
        <w:numPr>
          <w:ilvl w:val="0"/>
          <w:numId w:val="10"/>
        </w:numPr>
        <w:spacing w:lineRule="auto" w:line="240" w:before="120" w:after="0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informację o wcześniejszej działalności podmiotu składającego ofertę w zakresie, którego dotyczy zadanie,</w:t>
      </w:r>
    </w:p>
    <w:p>
      <w:pPr>
        <w:pStyle w:val="Normal"/>
        <w:numPr>
          <w:ilvl w:val="0"/>
          <w:numId w:val="10"/>
        </w:numPr>
        <w:spacing w:lineRule="auto" w:line="240" w:before="120" w:after="0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informację o posiadanych zasobach rzeczowych i kadrowych zapewniających wykonanie zadania oraz planowanej wysokości na realizację danego zadania pochodzących z innych źródeł, środków finansowych,</w:t>
      </w:r>
    </w:p>
    <w:p>
      <w:pPr>
        <w:pStyle w:val="Normal"/>
        <w:numPr>
          <w:ilvl w:val="0"/>
          <w:numId w:val="10"/>
        </w:numPr>
        <w:spacing w:lineRule="auto" w:line="240" w:before="120" w:after="0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deklarację o zamiarze odpłatnego lub nieodpłatnego wykonania zadania.</w:t>
      </w:r>
    </w:p>
    <w:p>
      <w:pPr>
        <w:pStyle w:val="Normal"/>
        <w:numPr>
          <w:ilvl w:val="0"/>
          <w:numId w:val="9"/>
        </w:numPr>
        <w:spacing w:lineRule="auto" w:line="240" w:before="120" w:after="0"/>
        <w:ind w:hanging="284" w:left="284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Oferty należy składać odrębnie dla danej części zadania.</w:t>
      </w:r>
    </w:p>
    <w:p>
      <w:pPr>
        <w:pStyle w:val="Normal"/>
        <w:numPr>
          <w:ilvl w:val="0"/>
          <w:numId w:val="9"/>
        </w:numPr>
        <w:spacing w:lineRule="auto" w:line="240" w:before="120" w:after="0"/>
        <w:ind w:hanging="284" w:left="284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W kosztorysie oferty nie należy wyceniać wkładu rzeczowego.</w:t>
      </w:r>
    </w:p>
    <w:p>
      <w:pPr>
        <w:pStyle w:val="Normal"/>
        <w:numPr>
          <w:ilvl w:val="0"/>
          <w:numId w:val="9"/>
        </w:numPr>
        <w:spacing w:lineRule="auto" w:line="240" w:before="120" w:after="0"/>
        <w:ind w:hanging="284" w:left="284"/>
        <w:jc w:val="both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Zadania publiczne powinny być zaprojektowanie i realizowane przez oferentów w taki sposób, aby nie wykluczały z uczestnictwa w nich osób ze specjalnymi potrzebami w rozumieniu ustawy o zapewnianiu dostępności osobom ze szczególnymi potrzebami (t.j. Dz.U. z 2024 r. poz. 1411</w:t>
        <w:br/>
        <w:t xml:space="preserve">z późn. zm.). Zapewnianie dostępności przez Zleceniobiorcę oznacza obowiązek osiągnięcia stanu faktycznego, w którym osoba ze szczególnymi potrzebami jako odbiorca zadania publicznego, może w nim uczestniczyć na zasadzie równości z innymi osobami. </w:t>
        <w:br/>
        <w:t xml:space="preserve">W ramach realizacji zadań publicznych dopuszcza się umieszczanie w Kosztach realizacji działań w Kalkulacji przewidywanych kosztów realizacji zadania publicznego kosztów związanych </w:t>
        <w:br/>
        <w:t>z zapewnianiem dostępności.</w:t>
      </w:r>
    </w:p>
    <w:p>
      <w:pPr>
        <w:pStyle w:val="Normal"/>
        <w:numPr>
          <w:ilvl w:val="0"/>
          <w:numId w:val="9"/>
        </w:numPr>
        <w:spacing w:lineRule="auto" w:line="240" w:before="120" w:after="0"/>
        <w:ind w:hanging="284" w:left="284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Oferta, która wpłynie po ww. terminie, nie będzie objęta procedurą konkursową.</w:t>
      </w:r>
    </w:p>
    <w:p>
      <w:pPr>
        <w:pStyle w:val="Normal"/>
        <w:numPr>
          <w:ilvl w:val="0"/>
          <w:numId w:val="9"/>
        </w:numPr>
        <w:spacing w:lineRule="auto" w:line="240" w:before="120" w:after="0"/>
        <w:ind w:hanging="284" w:left="284"/>
        <w:jc w:val="both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Ofertę mogą składać podmioty samodzielnie lub wspólnie z innymi podmiotami. W ofercie należy wskazać podmiot ubiegający się o dotację i odpowiedzialny za wykonanie zadania.</w:t>
      </w:r>
    </w:p>
    <w:p>
      <w:pPr>
        <w:pStyle w:val="Normal"/>
        <w:numPr>
          <w:ilvl w:val="0"/>
          <w:numId w:val="9"/>
        </w:numPr>
        <w:spacing w:lineRule="auto" w:line="240" w:before="120" w:after="0"/>
        <w:ind w:hanging="284" w:left="284"/>
        <w:jc w:val="both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Przy składaniu oferty wspólnej należy wskazać sposób reprezentowania każdego z podmiotów oraz określić, jakie działania w ramach realizacji zadania publicznego będą wykonywać poszczególne podmioty i jakie rodzaje kosztów będą opłacane z konta tych podmiotów.</w:t>
      </w:r>
    </w:p>
    <w:p>
      <w:pPr>
        <w:pStyle w:val="Normal"/>
        <w:numPr>
          <w:ilvl w:val="0"/>
          <w:numId w:val="9"/>
        </w:numPr>
        <w:spacing w:lineRule="auto" w:line="240" w:before="120" w:after="0"/>
        <w:ind w:hanging="284" w:left="284"/>
        <w:rPr>
          <w:rFonts w:cs="Calibri" w:cstheme="minorHAnsi"/>
          <w:b/>
          <w:bCs/>
          <w:sz w:val="24"/>
          <w:szCs w:val="24"/>
        </w:rPr>
      </w:pPr>
      <w:r>
        <w:rPr>
          <w:rFonts w:cs="Calibri" w:cstheme="minorHAnsi"/>
          <w:sz w:val="24"/>
          <w:szCs w:val="24"/>
        </w:rPr>
        <w:t xml:space="preserve">Termin realizacji powyższych zadań: </w:t>
      </w:r>
      <w:r>
        <w:rPr>
          <w:rFonts w:cs="Calibri" w:cstheme="minorHAnsi"/>
          <w:b/>
          <w:bCs/>
          <w:sz w:val="24"/>
          <w:szCs w:val="24"/>
        </w:rPr>
        <w:t>14.07.2025 r. – 31.12.2025 r.</w:t>
      </w:r>
    </w:p>
    <w:p>
      <w:pPr>
        <w:pStyle w:val="Normal"/>
        <w:numPr>
          <w:ilvl w:val="0"/>
          <w:numId w:val="9"/>
        </w:numPr>
        <w:spacing w:lineRule="auto" w:line="240" w:before="120" w:after="0"/>
        <w:ind w:hanging="426" w:left="426"/>
        <w:jc w:val="both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 xml:space="preserve">Oferta powinna być podpisana przez osobę(y) uprawnioną(e). Uprawnienie to powinno być udokumentowane stosowną uchwałą lub upoważnieniem właściwego organu lub zapisem </w:t>
        <w:br/>
        <w:t>w aktualnym odpisie z Krajowego Rejestru Sądowego. W przypadku wystawienia upoważnień do podpisywania dokumentów (lub określonych rodzajów dokumentów), upoważnienia muszą być dołączone do oferty.</w:t>
      </w:r>
    </w:p>
    <w:p>
      <w:pPr>
        <w:pStyle w:val="Normal"/>
        <w:numPr>
          <w:ilvl w:val="0"/>
          <w:numId w:val="9"/>
        </w:numPr>
        <w:spacing w:lineRule="auto" w:line="240" w:before="120" w:after="0"/>
        <w:ind w:hanging="426" w:left="426"/>
        <w:jc w:val="both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Wszystkie złożone własnoręcznie podpisy muszą być czytelne lub opatrzone imienną pieczątką.</w:t>
      </w:r>
    </w:p>
    <w:p>
      <w:pPr>
        <w:pStyle w:val="Normal"/>
        <w:numPr>
          <w:ilvl w:val="0"/>
          <w:numId w:val="9"/>
        </w:numPr>
        <w:spacing w:lineRule="auto" w:line="240" w:before="120" w:after="0"/>
        <w:ind w:hanging="426" w:left="426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Do oferty należy dołączyć wymagane załączniki:</w:t>
      </w:r>
    </w:p>
    <w:p>
      <w:pPr>
        <w:pStyle w:val="Normal"/>
        <w:numPr>
          <w:ilvl w:val="0"/>
          <w:numId w:val="11"/>
        </w:numPr>
        <w:spacing w:lineRule="auto" w:line="240" w:before="120" w:after="0"/>
        <w:jc w:val="both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 xml:space="preserve">statut lub regulamin podmiotu, potwierdzający zgodność zadań wymienionych w ofercie </w:t>
        <w:br/>
        <w:t>z działalnością statutową,</w:t>
      </w:r>
    </w:p>
    <w:p>
      <w:pPr>
        <w:pStyle w:val="Normal"/>
        <w:numPr>
          <w:ilvl w:val="0"/>
          <w:numId w:val="11"/>
        </w:numPr>
        <w:spacing w:lineRule="auto" w:line="240" w:before="120" w:after="0"/>
        <w:jc w:val="both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w przypadku oferty wspólnej umowę zawartą między podmiotami, określającą zakres ich świadczeń składających się na realizację zadania publicznego, sposób reprezentacji podmiotów.</w:t>
      </w:r>
    </w:p>
    <w:p>
      <w:pPr>
        <w:pStyle w:val="Normal"/>
        <w:numPr>
          <w:ilvl w:val="0"/>
          <w:numId w:val="12"/>
        </w:numPr>
        <w:spacing w:lineRule="auto" w:line="240" w:before="120" w:after="0"/>
        <w:ind w:hanging="426" w:left="426"/>
        <w:jc w:val="both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Każda strona kopii dokumentów składanych w wersji papierowej powinna być poświadczona za zgodność z oryginałem przez osobę/y upoważnioną/e do podpisywania oferty.</w:t>
      </w:r>
    </w:p>
    <w:p>
      <w:pPr>
        <w:pStyle w:val="Normal"/>
        <w:numPr>
          <w:ilvl w:val="0"/>
          <w:numId w:val="12"/>
        </w:numPr>
        <w:spacing w:lineRule="auto" w:line="240" w:before="120" w:after="0"/>
        <w:ind w:hanging="426" w:left="426"/>
        <w:jc w:val="both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Podmioty uczestniczące w otwartym konkursie ofert i ubiegające się o dotację na realizację zadań z zakresu edukacji ekologicznej powinny posiadać doświadczenie w realizacji ww. zadań.</w:t>
      </w:r>
    </w:p>
    <w:p>
      <w:pPr>
        <w:pStyle w:val="Normal"/>
        <w:spacing w:lineRule="auto" w:line="240" w:before="120" w:after="0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</w:r>
    </w:p>
    <w:p>
      <w:pPr>
        <w:pStyle w:val="Normal"/>
        <w:numPr>
          <w:ilvl w:val="0"/>
          <w:numId w:val="1"/>
        </w:numPr>
        <w:spacing w:lineRule="auto" w:line="240" w:before="120" w:after="0"/>
        <w:rPr>
          <w:rFonts w:cs="Calibri" w:cstheme="minorHAnsi"/>
          <w:b/>
          <w:bCs/>
          <w:sz w:val="24"/>
          <w:szCs w:val="24"/>
        </w:rPr>
      </w:pPr>
      <w:r>
        <w:rPr>
          <w:rFonts w:cs="Calibri" w:cstheme="minorHAnsi"/>
          <w:b/>
          <w:bCs/>
          <w:sz w:val="24"/>
          <w:szCs w:val="24"/>
        </w:rPr>
        <w:t>Termin, tryb i kryteria rozpatrywania ofert</w:t>
      </w:r>
    </w:p>
    <w:p>
      <w:pPr>
        <w:pStyle w:val="Normal"/>
        <w:numPr>
          <w:ilvl w:val="1"/>
          <w:numId w:val="13"/>
        </w:numPr>
        <w:spacing w:lineRule="auto" w:line="240" w:before="120" w:after="0"/>
        <w:ind w:hanging="284" w:left="284"/>
        <w:jc w:val="both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Prezydent Miasta do zaopiniowania złożonych ofert powołuje zarządzeniem komisję konkursową.</w:t>
      </w:r>
    </w:p>
    <w:p>
      <w:pPr>
        <w:pStyle w:val="Normal"/>
        <w:numPr>
          <w:ilvl w:val="1"/>
          <w:numId w:val="13"/>
        </w:numPr>
        <w:spacing w:lineRule="auto" w:line="240" w:before="120" w:after="0"/>
        <w:ind w:hanging="284" w:left="284"/>
        <w:jc w:val="both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 xml:space="preserve">Oferty na realizację zadań będą rozpatrzone w terminie do dnia </w:t>
      </w:r>
      <w:r>
        <w:rPr>
          <w:rFonts w:cs="Calibri" w:cstheme="minorHAnsi"/>
          <w:b/>
          <w:bCs/>
          <w:sz w:val="24"/>
          <w:szCs w:val="24"/>
        </w:rPr>
        <w:t>27.06.2025 г.</w:t>
      </w:r>
    </w:p>
    <w:p>
      <w:pPr>
        <w:pStyle w:val="Normal"/>
        <w:numPr>
          <w:ilvl w:val="1"/>
          <w:numId w:val="13"/>
        </w:numPr>
        <w:spacing w:lineRule="auto" w:line="240" w:before="120" w:after="0"/>
        <w:ind w:hanging="284" w:left="284"/>
        <w:jc w:val="both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Do ważności obrad komisji niezbędna jest obecność co najmniej 50% składu jej członków.</w:t>
      </w:r>
    </w:p>
    <w:p>
      <w:pPr>
        <w:pStyle w:val="Normal"/>
        <w:numPr>
          <w:ilvl w:val="1"/>
          <w:numId w:val="13"/>
        </w:numPr>
        <w:spacing w:lineRule="auto" w:line="240" w:before="120" w:after="0"/>
        <w:ind w:hanging="284" w:left="284"/>
        <w:jc w:val="both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Przewodniczący i członkowie komisji po zapoznaniu się z wykazem złożonych ofert składają oświadczenie, iż nie pozostają w takim stosunku prawnym i faktycznym z podmiotami biorącymi udział w konkursie, który może budzić uzasadnioną wątpliwość co do ich bezstronności podczas opiniowania ofert.</w:t>
      </w:r>
    </w:p>
    <w:p>
      <w:pPr>
        <w:pStyle w:val="Normal"/>
        <w:numPr>
          <w:ilvl w:val="1"/>
          <w:numId w:val="13"/>
        </w:numPr>
        <w:spacing w:lineRule="auto" w:line="240" w:before="120" w:after="0"/>
        <w:ind w:hanging="284" w:left="284"/>
        <w:jc w:val="both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Posiedzenie komisji konkursowej prowadzi przewodniczący, a w przypadku jego nieobecności wyznaczony przez niego członek komisji.</w:t>
      </w:r>
    </w:p>
    <w:p>
      <w:pPr>
        <w:pStyle w:val="Normal"/>
        <w:numPr>
          <w:ilvl w:val="1"/>
          <w:numId w:val="13"/>
        </w:numPr>
        <w:spacing w:lineRule="auto" w:line="240" w:before="120" w:after="0"/>
        <w:ind w:hanging="284" w:left="284"/>
        <w:jc w:val="both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W pierwszym etapie konkursu komisja konkursowa:</w:t>
      </w:r>
    </w:p>
    <w:p>
      <w:pPr>
        <w:pStyle w:val="Normal"/>
        <w:numPr>
          <w:ilvl w:val="0"/>
          <w:numId w:val="14"/>
        </w:numPr>
        <w:spacing w:lineRule="auto" w:line="240" w:before="120" w:after="0"/>
        <w:jc w:val="both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stwierdza prawidłowość ogłoszonego konkursu oraz liczbę ofert - dokonuje wstępnego zapoznania się z ofertami,</w:t>
      </w:r>
    </w:p>
    <w:p>
      <w:pPr>
        <w:pStyle w:val="Normal"/>
        <w:numPr>
          <w:ilvl w:val="0"/>
          <w:numId w:val="14"/>
        </w:numPr>
        <w:spacing w:lineRule="auto" w:line="240" w:before="120" w:after="0"/>
        <w:jc w:val="both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sprawdza poprawność formalną wniosków, wzywa do uzupełnienia wnioski zawierające błędy formalne.</w:t>
      </w:r>
    </w:p>
    <w:p>
      <w:pPr>
        <w:pStyle w:val="Normal"/>
        <w:numPr>
          <w:ilvl w:val="0"/>
          <w:numId w:val="21"/>
        </w:numPr>
        <w:spacing w:lineRule="auto" w:line="240" w:before="120" w:after="0"/>
        <w:ind w:hanging="284" w:left="284"/>
        <w:jc w:val="both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 xml:space="preserve">Oferty w odniesieniu do których stwierdzono wady formalne, nieuzupełnione </w:t>
        <w:br/>
        <w:t>w wyznaczonym terminie, podlegają odrzuceniu i nie podlegają ocenie merytorycznej.</w:t>
      </w:r>
    </w:p>
    <w:p>
      <w:pPr>
        <w:pStyle w:val="ListParagraph"/>
        <w:numPr>
          <w:ilvl w:val="0"/>
          <w:numId w:val="21"/>
        </w:numPr>
        <w:suppressAutoHyphens w:val="false"/>
        <w:spacing w:lineRule="auto" w:line="240" w:before="120" w:after="0"/>
        <w:ind w:hanging="284" w:left="284"/>
        <w:contextualSpacing w:val="false"/>
        <w:jc w:val="both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Oferta nie podlega ocenie i zostaje odrzucona z powodu następujących błędów  formalnych:</w:t>
      </w:r>
    </w:p>
    <w:p>
      <w:pPr>
        <w:pStyle w:val="ListParagraph"/>
        <w:numPr>
          <w:ilvl w:val="0"/>
          <w:numId w:val="24"/>
        </w:numPr>
        <w:tabs>
          <w:tab w:val="clear" w:pos="708"/>
          <w:tab w:val="left" w:pos="0" w:leader="none"/>
          <w:tab w:val="left" w:pos="426" w:leader="none"/>
          <w:tab w:val="left" w:pos="567" w:leader="none"/>
        </w:tabs>
        <w:suppressAutoHyphens w:val="false"/>
        <w:spacing w:lineRule="auto" w:line="240" w:before="120" w:after="0"/>
        <w:ind w:hanging="142" w:left="426"/>
        <w:contextualSpacing w:val="false"/>
        <w:jc w:val="both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złożenie oferty na niewłaściwym formularzu, innym niż określony w ogłoszeniu  o konkursie;</w:t>
      </w:r>
    </w:p>
    <w:p>
      <w:pPr>
        <w:pStyle w:val="ListParagraph"/>
        <w:numPr>
          <w:ilvl w:val="0"/>
          <w:numId w:val="24"/>
        </w:numPr>
        <w:tabs>
          <w:tab w:val="clear" w:pos="708"/>
          <w:tab w:val="left" w:pos="0" w:leader="none"/>
          <w:tab w:val="left" w:pos="426" w:leader="none"/>
          <w:tab w:val="left" w:pos="567" w:leader="none"/>
        </w:tabs>
        <w:suppressAutoHyphens w:val="false"/>
        <w:spacing w:lineRule="auto" w:line="240" w:before="120" w:after="0"/>
        <w:ind w:hanging="142" w:left="426"/>
        <w:contextualSpacing w:val="false"/>
        <w:jc w:val="both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złożenie oferty po terminie;</w:t>
      </w:r>
    </w:p>
    <w:p>
      <w:pPr>
        <w:pStyle w:val="ListParagraph"/>
        <w:numPr>
          <w:ilvl w:val="0"/>
          <w:numId w:val="24"/>
        </w:numPr>
        <w:tabs>
          <w:tab w:val="clear" w:pos="708"/>
          <w:tab w:val="left" w:pos="0" w:leader="none"/>
          <w:tab w:val="left" w:pos="426" w:leader="none"/>
          <w:tab w:val="left" w:pos="567" w:leader="none"/>
        </w:tabs>
        <w:suppressAutoHyphens w:val="false"/>
        <w:spacing w:lineRule="auto" w:line="240" w:before="120" w:after="0"/>
        <w:ind w:hanging="141" w:left="425"/>
        <w:contextualSpacing w:val="false"/>
        <w:jc w:val="both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złożenie oferty przez podmiot nieuprawniony.</w:t>
      </w:r>
    </w:p>
    <w:p>
      <w:pPr>
        <w:pStyle w:val="ListParagraph"/>
        <w:numPr>
          <w:ilvl w:val="0"/>
          <w:numId w:val="0"/>
        </w:numPr>
        <w:tabs>
          <w:tab w:val="clear" w:pos="708"/>
          <w:tab w:val="left" w:pos="0" w:leader="none"/>
          <w:tab w:val="left" w:pos="426" w:leader="none"/>
          <w:tab w:val="left" w:pos="567" w:leader="none"/>
        </w:tabs>
        <w:suppressAutoHyphens w:val="false"/>
        <w:spacing w:lineRule="auto" w:line="240" w:before="120" w:after="0"/>
        <w:ind w:hanging="0" w:left="425"/>
        <w:contextualSpacing w:val="false"/>
        <w:jc w:val="both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</w:r>
    </w:p>
    <w:p>
      <w:pPr>
        <w:pStyle w:val="Normal"/>
        <w:numPr>
          <w:ilvl w:val="0"/>
          <w:numId w:val="21"/>
        </w:numPr>
        <w:spacing w:lineRule="auto" w:line="240" w:before="120" w:after="0"/>
        <w:ind w:hanging="284" w:left="284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W drugim etapie konkursu komisja konkursowa:</w:t>
      </w:r>
    </w:p>
    <w:p>
      <w:pPr>
        <w:pStyle w:val="Normal"/>
        <w:numPr>
          <w:ilvl w:val="1"/>
          <w:numId w:val="15"/>
        </w:numPr>
        <w:spacing w:lineRule="auto" w:line="240" w:before="120" w:after="0"/>
        <w:jc w:val="both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ocenia możliwość realizacji zadania przez starający się o przyznanie dotacji podmiot,</w:t>
      </w:r>
    </w:p>
    <w:p>
      <w:pPr>
        <w:pStyle w:val="Normal"/>
        <w:numPr>
          <w:ilvl w:val="1"/>
          <w:numId w:val="15"/>
        </w:numPr>
        <w:spacing w:lineRule="auto" w:line="240" w:before="120" w:after="0"/>
        <w:jc w:val="both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ocenia przedstawioną kalkulację kosztów zadania w odniesieniu do zakresu rzeczowego zadania,</w:t>
      </w:r>
    </w:p>
    <w:p>
      <w:pPr>
        <w:pStyle w:val="Normal"/>
        <w:numPr>
          <w:ilvl w:val="1"/>
          <w:numId w:val="15"/>
        </w:numPr>
        <w:spacing w:lineRule="auto" w:line="240" w:before="120" w:after="0"/>
        <w:jc w:val="both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ocenia proponowaną jakość wykonania zadania i kwalifikacje osób, przy udziale których zadanie będzie realizowane,</w:t>
      </w:r>
    </w:p>
    <w:p>
      <w:pPr>
        <w:pStyle w:val="Normal"/>
        <w:numPr>
          <w:ilvl w:val="1"/>
          <w:numId w:val="15"/>
        </w:numPr>
        <w:spacing w:lineRule="auto" w:line="240" w:before="120" w:after="0"/>
        <w:jc w:val="both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uwzględnia planowany przez wnioskodawcę udział środków finansowych własnych lub pochodzących z innych źródeł,</w:t>
      </w:r>
    </w:p>
    <w:p>
      <w:pPr>
        <w:pStyle w:val="Normal"/>
        <w:numPr>
          <w:ilvl w:val="1"/>
          <w:numId w:val="15"/>
        </w:numPr>
        <w:spacing w:lineRule="auto" w:line="240" w:before="120" w:after="0"/>
        <w:jc w:val="both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uwzględnia planowany przez wnioskodawcę wkład rzeczowy, osobowy, w tym świadczenia wolontariuszy i pracę społeczną członków,</w:t>
      </w:r>
    </w:p>
    <w:p>
      <w:pPr>
        <w:pStyle w:val="Normal"/>
        <w:numPr>
          <w:ilvl w:val="1"/>
          <w:numId w:val="15"/>
        </w:numPr>
        <w:spacing w:lineRule="auto" w:line="240" w:before="120" w:after="0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dokonuje ogólnej oceny ofert w oparciu o następujące kryteria:</w:t>
      </w:r>
    </w:p>
    <w:p>
      <w:pPr>
        <w:pStyle w:val="Normal"/>
        <w:spacing w:lineRule="auto" w:line="240" w:before="120" w:after="0"/>
        <w:rPr>
          <w:rFonts w:cs="Calibri" w:cstheme="minorHAnsi"/>
          <w:b/>
          <w:bCs/>
          <w:sz w:val="24"/>
          <w:szCs w:val="24"/>
        </w:rPr>
      </w:pPr>
      <w:r>
        <w:rPr>
          <w:rFonts w:cs="Calibri" w:cstheme="minorHAnsi"/>
          <w:b/>
          <w:bCs/>
          <w:sz w:val="24"/>
          <w:szCs w:val="24"/>
        </w:rPr>
        <w:t>PRZYGOTOWANIE ORGANIZACJI DO REALIZACJI ZADANIA</w:t>
      </w:r>
      <w:r>
        <w:rPr>
          <w:rFonts w:cs="Calibri" w:cstheme="minorHAnsi"/>
          <w:sz w:val="24"/>
          <w:szCs w:val="24"/>
        </w:rPr>
        <w:t xml:space="preserve"> (maksymalnie 15 pkt.)</w:t>
      </w:r>
    </w:p>
    <w:p>
      <w:pPr>
        <w:pStyle w:val="Normal"/>
        <w:numPr>
          <w:ilvl w:val="0"/>
          <w:numId w:val="22"/>
        </w:numPr>
        <w:spacing w:lineRule="auto" w:line="240" w:before="120" w:after="0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Doświadczenie w realizacji podobnych zadań</w:t>
      </w:r>
    </w:p>
    <w:p>
      <w:pPr>
        <w:pStyle w:val="Normal"/>
        <w:numPr>
          <w:ilvl w:val="0"/>
          <w:numId w:val="22"/>
        </w:numPr>
        <w:spacing w:lineRule="auto" w:line="240" w:before="120" w:after="0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Posiadane zasoby lokalowe, sprzętowe i finansowe organizacji oraz partnera, dostępność dla osób niepełnosprawnych</w:t>
      </w:r>
    </w:p>
    <w:p>
      <w:pPr>
        <w:pStyle w:val="Normal"/>
        <w:numPr>
          <w:ilvl w:val="0"/>
          <w:numId w:val="22"/>
        </w:numPr>
        <w:spacing w:lineRule="auto" w:line="240" w:before="120" w:after="0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Personel organizacji oraz jej partnerów w stosunku do realizacji zadania</w:t>
      </w:r>
    </w:p>
    <w:p>
      <w:pPr>
        <w:pStyle w:val="Normal"/>
        <w:spacing w:lineRule="auto" w:line="240" w:before="120" w:after="0"/>
        <w:rPr>
          <w:rFonts w:cs="Calibri" w:cstheme="minorHAnsi"/>
          <w:sz w:val="24"/>
          <w:szCs w:val="24"/>
        </w:rPr>
      </w:pPr>
      <w:r>
        <w:rPr>
          <w:rFonts w:cs="Calibri" w:cstheme="minorHAnsi"/>
          <w:b/>
          <w:bCs/>
          <w:sz w:val="24"/>
          <w:szCs w:val="24"/>
        </w:rPr>
        <w:t>SPOSÓB REALIZACJI ZADANIA</w:t>
      </w:r>
      <w:r>
        <w:rPr>
          <w:rFonts w:cs="Calibri" w:cstheme="minorHAnsi"/>
          <w:sz w:val="24"/>
          <w:szCs w:val="24"/>
        </w:rPr>
        <w:t xml:space="preserve"> (maksymalnie 50 pkt.)</w:t>
      </w:r>
    </w:p>
    <w:p>
      <w:pPr>
        <w:pStyle w:val="Normal"/>
        <w:numPr>
          <w:ilvl w:val="0"/>
          <w:numId w:val="20"/>
        </w:numPr>
        <w:spacing w:lineRule="auto" w:line="240" w:before="120" w:after="0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Zgodność oferty z założeniami konkursu,</w:t>
      </w:r>
    </w:p>
    <w:p>
      <w:pPr>
        <w:pStyle w:val="Normal"/>
        <w:numPr>
          <w:ilvl w:val="0"/>
          <w:numId w:val="20"/>
        </w:numPr>
        <w:spacing w:lineRule="auto" w:line="240" w:before="120" w:after="0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Adekwatność i jakość przyjętych metod i działań do realizacji zadania,</w:t>
      </w:r>
    </w:p>
    <w:p>
      <w:pPr>
        <w:pStyle w:val="Normal"/>
        <w:numPr>
          <w:ilvl w:val="0"/>
          <w:numId w:val="20"/>
        </w:numPr>
        <w:spacing w:lineRule="auto" w:line="240" w:before="120" w:after="0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 xml:space="preserve">Efekty realizacji zadania w stosunku do założeń konkursu, </w:t>
      </w:r>
    </w:p>
    <w:p>
      <w:pPr>
        <w:pStyle w:val="Normal"/>
        <w:numPr>
          <w:ilvl w:val="0"/>
          <w:numId w:val="20"/>
        </w:numPr>
        <w:spacing w:lineRule="auto" w:line="240" w:before="120" w:after="0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Harmonogram działań w odniesieniu do zadania</w:t>
      </w:r>
    </w:p>
    <w:p>
      <w:pPr>
        <w:pStyle w:val="Normal"/>
        <w:spacing w:lineRule="auto" w:line="240" w:before="120" w:after="0"/>
        <w:rPr>
          <w:rFonts w:cs="Calibri" w:cstheme="minorHAnsi"/>
          <w:sz w:val="24"/>
          <w:szCs w:val="24"/>
        </w:rPr>
      </w:pPr>
      <w:r>
        <w:rPr>
          <w:rFonts w:cs="Calibri" w:cstheme="minorHAnsi"/>
          <w:b/>
          <w:bCs/>
          <w:sz w:val="24"/>
          <w:szCs w:val="24"/>
        </w:rPr>
        <w:t>BUDŻET ZADANIA</w:t>
      </w:r>
      <w:r>
        <w:rPr>
          <w:rFonts w:cs="Calibri" w:cstheme="minorHAnsi"/>
          <w:sz w:val="24"/>
          <w:szCs w:val="24"/>
        </w:rPr>
        <w:t xml:space="preserve"> (maksymalnie 30 pkt.)</w:t>
      </w:r>
    </w:p>
    <w:p>
      <w:pPr>
        <w:pStyle w:val="Normal"/>
        <w:numPr>
          <w:ilvl w:val="0"/>
          <w:numId w:val="23"/>
        </w:numPr>
        <w:spacing w:lineRule="auto" w:line="240" w:before="120" w:after="0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Ogólny oraz jednostkowy koszt realizacji zadania</w:t>
      </w:r>
    </w:p>
    <w:p>
      <w:pPr>
        <w:pStyle w:val="Normal"/>
        <w:numPr>
          <w:ilvl w:val="0"/>
          <w:numId w:val="23"/>
        </w:numPr>
        <w:spacing w:lineRule="auto" w:line="240" w:before="120" w:after="0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Racjonalność i niezbędność przedstawionych kosztów z perspektywy założonych działań</w:t>
      </w:r>
    </w:p>
    <w:p>
      <w:pPr>
        <w:pStyle w:val="Normal"/>
        <w:numPr>
          <w:ilvl w:val="0"/>
          <w:numId w:val="23"/>
        </w:numPr>
        <w:spacing w:lineRule="auto" w:line="240" w:before="120" w:after="0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Wkład ze źródeł innych niż budżet gminy</w:t>
      </w:r>
    </w:p>
    <w:p>
      <w:pPr>
        <w:pStyle w:val="Normal"/>
        <w:numPr>
          <w:ilvl w:val="0"/>
          <w:numId w:val="16"/>
        </w:numPr>
        <w:spacing w:lineRule="auto" w:line="240" w:before="120" w:after="0"/>
        <w:ind w:hanging="426" w:left="426"/>
        <w:jc w:val="both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W przypadku, gdy przedstawione w złożonych ofertach informacje okażą się niewystarczające, oferenci mogą zostać poproszeni o dokonanie uzupełnień, które muszą przedstawić komisji na piśmie w terminie wskazanym przez komisję. Niedotrzymanie przez oferenta terminu skutkuje odrzuceniem oferty.</w:t>
      </w:r>
    </w:p>
    <w:p>
      <w:pPr>
        <w:pStyle w:val="Normal"/>
        <w:numPr>
          <w:ilvl w:val="0"/>
          <w:numId w:val="16"/>
        </w:numPr>
        <w:spacing w:lineRule="auto" w:line="240" w:before="120" w:after="0"/>
        <w:ind w:hanging="426" w:left="426"/>
        <w:jc w:val="both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Komisja dokonuje propozycji podziału środków przeznaczonych na dotacje niezbędne do realizacji wybranych przedsięwzięć.</w:t>
      </w:r>
    </w:p>
    <w:p>
      <w:pPr>
        <w:pStyle w:val="Normal"/>
        <w:numPr>
          <w:ilvl w:val="0"/>
          <w:numId w:val="16"/>
        </w:numPr>
        <w:spacing w:lineRule="auto" w:line="240" w:before="120" w:after="0"/>
        <w:ind w:hanging="426" w:left="426"/>
        <w:jc w:val="both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Wynikiem pracy komisji jest protokół, który jest przekazywany do zatwierdzenia Prezydentowi.</w:t>
      </w:r>
    </w:p>
    <w:p>
      <w:pPr>
        <w:pStyle w:val="Normal"/>
        <w:numPr>
          <w:ilvl w:val="0"/>
          <w:numId w:val="16"/>
        </w:numPr>
        <w:spacing w:lineRule="auto" w:line="240" w:before="120" w:after="0"/>
        <w:ind w:hanging="426" w:left="426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Decyzję o udzieleniu dotacji podejmuje Prezydent Będzina po zapoznaniu się z opinią komisji konkursowej.</w:t>
      </w:r>
    </w:p>
    <w:p>
      <w:pPr>
        <w:pStyle w:val="Normal"/>
        <w:numPr>
          <w:ilvl w:val="0"/>
          <w:numId w:val="16"/>
        </w:numPr>
        <w:spacing w:lineRule="auto" w:line="240" w:before="120" w:after="0"/>
        <w:ind w:hanging="426" w:left="426"/>
        <w:jc w:val="both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 xml:space="preserve">Wyniki konkursu zostaną podane do publicznej wiadomości poprzez zamieszczenie ich w BIP, na stronie internetowej www.bedzin.pl oraz na tablicy ogłoszeń Urzędu Miejskiego </w:t>
        <w:br/>
        <w:t>w Będzinie.</w:t>
      </w:r>
    </w:p>
    <w:p>
      <w:pPr>
        <w:pStyle w:val="Normal"/>
        <w:numPr>
          <w:ilvl w:val="0"/>
          <w:numId w:val="16"/>
        </w:numPr>
        <w:spacing w:lineRule="auto" w:line="240" w:before="120" w:after="0"/>
        <w:ind w:hanging="426" w:left="426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Złożenie oferty nie jest równoznaczne z przyznaniem dotacji.</w:t>
      </w:r>
    </w:p>
    <w:p>
      <w:pPr>
        <w:pStyle w:val="Normal"/>
        <w:numPr>
          <w:ilvl w:val="0"/>
          <w:numId w:val="16"/>
        </w:numPr>
        <w:spacing w:lineRule="auto" w:line="240" w:before="120" w:after="0"/>
        <w:ind w:hanging="426" w:left="426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Kwota przyznanej dotacji może być niższa od wnioskowanej.</w:t>
      </w:r>
    </w:p>
    <w:p>
      <w:pPr>
        <w:pStyle w:val="Normal"/>
        <w:spacing w:lineRule="auto" w:line="240" w:before="120" w:after="0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</w:r>
    </w:p>
    <w:p>
      <w:pPr>
        <w:pStyle w:val="Normal"/>
        <w:numPr>
          <w:ilvl w:val="0"/>
          <w:numId w:val="1"/>
        </w:numPr>
        <w:spacing w:lineRule="auto" w:line="240" w:before="120" w:after="0"/>
        <w:rPr>
          <w:rFonts w:cs="Calibri" w:cstheme="minorHAnsi"/>
          <w:b/>
          <w:bCs/>
          <w:sz w:val="24"/>
          <w:szCs w:val="24"/>
        </w:rPr>
      </w:pPr>
      <w:r>
        <w:rPr>
          <w:rFonts w:cs="Calibri" w:cstheme="minorHAnsi"/>
          <w:b/>
          <w:bCs/>
          <w:sz w:val="24"/>
          <w:szCs w:val="24"/>
        </w:rPr>
        <w:t>Warunki przekazania dotacji</w:t>
      </w:r>
    </w:p>
    <w:p>
      <w:pPr>
        <w:pStyle w:val="Normal"/>
        <w:numPr>
          <w:ilvl w:val="1"/>
          <w:numId w:val="17"/>
        </w:numPr>
        <w:spacing w:lineRule="auto" w:line="240" w:before="120" w:after="0"/>
        <w:ind w:hanging="284" w:left="284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Warunkiem przekazania dotacji jest zawarcie umowy dotacyjnej.</w:t>
      </w:r>
    </w:p>
    <w:p>
      <w:pPr>
        <w:pStyle w:val="Normal"/>
        <w:numPr>
          <w:ilvl w:val="1"/>
          <w:numId w:val="17"/>
        </w:numPr>
        <w:spacing w:lineRule="auto" w:line="240" w:before="120" w:after="0"/>
        <w:ind w:hanging="284" w:left="284"/>
        <w:jc w:val="both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Warunkiem zawarcia umowy, w przypadku przyznania dotacji w wysokości innej niż wnioskowana jest przedłożenie przez dotowanego poprawionej przewidywanej kalkulacji kosztów, w której może proporcjonalnie zmniejszyć również wysokość wkładu własnego oraz ewentualnie harmonogramu realizacji zadania publicznego oraz opisu poszczególnych działań.</w:t>
      </w:r>
    </w:p>
    <w:p>
      <w:pPr>
        <w:pStyle w:val="Normal"/>
        <w:numPr>
          <w:ilvl w:val="1"/>
          <w:numId w:val="17"/>
        </w:numPr>
        <w:spacing w:lineRule="auto" w:line="240" w:before="120" w:after="0"/>
        <w:ind w:hanging="284" w:left="284"/>
        <w:jc w:val="both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Dotujący przyznając dotację może wskazać pozycje kosztorysu, które będą objęte dofinansowaniem.</w:t>
      </w:r>
    </w:p>
    <w:p>
      <w:pPr>
        <w:pStyle w:val="Normal"/>
        <w:numPr>
          <w:ilvl w:val="1"/>
          <w:numId w:val="17"/>
        </w:numPr>
        <w:spacing w:lineRule="auto" w:line="240" w:before="120" w:after="0"/>
        <w:ind w:hanging="284" w:left="284"/>
        <w:jc w:val="both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Sprawozdanie z realizacji zadania powinno zostać złożone na druku zgodnym ze wzorem sprawozdania określonym w załączniku nr 5 do Rozporządzenia Przewodniczącego Komitetu do Spraw Pożytku Publicznego w sprawie wzorów ofert i ramowych wzorów umów dotyczących realizacji zadań publicznych oraz wzorów sprawozdań z wykonania tych zadań (Dz. U. z 2018 r. poz. 2057) w terminie do 30 dni od dnia zakończenia zadania.</w:t>
      </w:r>
    </w:p>
    <w:p>
      <w:pPr>
        <w:pStyle w:val="Normal"/>
        <w:spacing w:lineRule="auto" w:line="240" w:before="120" w:after="0"/>
        <w:ind w:left="284"/>
        <w:jc w:val="both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</w:r>
    </w:p>
    <w:p>
      <w:pPr>
        <w:pStyle w:val="Normal"/>
        <w:numPr>
          <w:ilvl w:val="0"/>
          <w:numId w:val="1"/>
        </w:numPr>
        <w:spacing w:lineRule="auto" w:line="240" w:before="120" w:after="0"/>
        <w:jc w:val="both"/>
        <w:rPr>
          <w:rFonts w:cs="Calibri" w:cstheme="minorHAnsi"/>
          <w:b/>
          <w:bCs/>
          <w:sz w:val="24"/>
          <w:szCs w:val="24"/>
        </w:rPr>
      </w:pPr>
      <w:r>
        <w:rPr>
          <w:rFonts w:cs="Calibri" w:cstheme="minorHAnsi"/>
          <w:b/>
          <w:bCs/>
          <w:sz w:val="24"/>
          <w:szCs w:val="24"/>
        </w:rPr>
        <w:t>Informacje o zrealizowanych w roku ogłoszenia otwartego konkursu ofert i w roku poprzednim zadaniach publicznych tego samego rodzaju i związanych z nimi kosztami</w:t>
      </w:r>
    </w:p>
    <w:p>
      <w:pPr>
        <w:pStyle w:val="Normal"/>
        <w:spacing w:lineRule="auto" w:line="240" w:before="120" w:after="0"/>
        <w:jc w:val="both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 xml:space="preserve">W 2024 r. i 2025 r. organizacje pozarządowe i podmioty, o których mowa w art. 3 ust. 3 ustawy </w:t>
        <w:br/>
        <w:t xml:space="preserve">o działalności pożytku publicznego i o wolontariacie nie zrealizowały żadnych zadań publicznych </w:t>
        <w:br/>
        <w:t>z zakresu edukacji ekologicznej z udziałem dotacji gminy Będzin.</w:t>
      </w:r>
    </w:p>
    <w:p>
      <w:pPr>
        <w:pStyle w:val="Normal"/>
        <w:spacing w:lineRule="auto" w:line="240" w:before="120" w:after="0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</w:r>
    </w:p>
    <w:p>
      <w:pPr>
        <w:pStyle w:val="Normal"/>
        <w:spacing w:lineRule="auto" w:line="240" w:before="120" w:after="0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</w:r>
    </w:p>
    <w:p>
      <w:pPr>
        <w:pStyle w:val="Normal"/>
        <w:spacing w:lineRule="auto" w:line="240" w:before="120" w:after="0"/>
        <w:jc w:val="both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</w:r>
    </w:p>
    <w:sectPr>
      <w:footerReference w:type="even" r:id="rId2"/>
      <w:footerReference w:type="default" r:id="rId3"/>
      <w:footerReference w:type="first" r:id="rId4"/>
      <w:type w:val="nextPage"/>
      <w:pgSz w:w="11906" w:h="16838"/>
      <w:pgMar w:left="1418" w:right="1077" w:gutter="0" w:header="0" w:top="1247" w:footer="1247" w:bottom="1979"/>
      <w:pgNumType w:fmt="decimal"/>
      <w:formProt w:val="false"/>
      <w:textDirection w:val="lrTb"/>
      <w:docGrid w:type="default" w:linePitch="36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Calibri Light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spacing w:before="0" w:after="160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spacing w:before="0" w:after="160"/>
      <w:jc w:val="center"/>
      <w:rPr/>
    </w:pPr>
    <w:bookmarkStart w:id="0" w:name="PageNumWizard_FOOTER_Domyślny_styl_stron"/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8</w:t>
    </w:r>
    <w:r>
      <w:rPr/>
      <w:fldChar w:fldCharType="end"/>
    </w:r>
    <w:bookmarkEnd w:id="0"/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spacing w:before="0" w:after="160"/>
      <w:jc w:val="center"/>
      <w:rPr/>
    </w:pPr>
    <w:bookmarkStart w:id="1" w:name="PageNumWizard_FOOTER_Domyślny_styl_stron"/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8</w:t>
    </w:r>
    <w:r>
      <w:rPr/>
      <w:fldChar w:fldCharType="end"/>
    </w:r>
    <w:bookmarkEnd w:id="1"/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upperRoman"/>
      <w:lvlText w:val="%1."/>
      <w:lvlJc w:val="right"/>
      <w:pPr>
        <w:tabs>
          <w:tab w:val="num" w:pos="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3"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4"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7"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8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9">
    <w:lvl w:ilvl="0">
      <w:start w:val="3"/>
      <w:numFmt w:val="decimal"/>
      <w:lvlText w:val="%1."/>
      <w:lvlJc w:val="left"/>
      <w:pPr>
        <w:tabs>
          <w:tab w:val="num" w:pos="0"/>
        </w:tabs>
        <w:ind w:left="5464" w:hanging="360"/>
      </w:pPr>
      <w:rPr>
        <w:b w:val="false"/>
        <w:bCs w:val="fals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10"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11"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lvl w:ilvl="0">
      <w:start w:val="13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13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0"/>
        </w:tabs>
        <w:ind w:left="72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14"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15"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16">
    <w:lvl w:ilvl="0">
      <w:start w:val="9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17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0"/>
        </w:tabs>
        <w:ind w:left="72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18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19">
    <w:lvl w:ilvl="0">
      <w:start w:val="1"/>
      <w:numFmt w:val="bullet"/>
      <w:lvlText w:val="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20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1">
    <w:lvl w:ilvl="0">
      <w:start w:val="7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2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3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4">
    <w:lvl w:ilvl="0">
      <w:start w:val="1"/>
      <w:numFmt w:val="lowerLetter"/>
      <w:lvlText w:val="%1)"/>
      <w:lvlJc w:val="left"/>
      <w:pPr>
        <w:tabs>
          <w:tab w:val="num" w:pos="0"/>
        </w:tabs>
        <w:ind w:left="107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222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1942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662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382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102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4822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542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262" w:hanging="180"/>
      </w:pPr>
      <w:rPr/>
    </w:lvl>
  </w:abstractNum>
  <w:abstractNum w:abstractNumId="25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  <w:num w:numId="23">
    <w:abstractNumId w:val="23"/>
  </w:num>
  <w:num w:numId="24">
    <w:abstractNumId w:val="24"/>
  </w:num>
  <w:num w:numId="25">
    <w:abstractNumId w:val="25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2"/>
      <w:sz w:val="22"/>
      <w:szCs w:val="22"/>
      <w:lang w:val="pl-PL" w:eastAsia="en-US" w:bidi="ar-SA"/>
      <w14:ligatures w14:val="standardContextual"/>
    </w:rPr>
  </w:style>
  <w:style w:type="paragraph" w:styleId="Heading1">
    <w:name w:val="heading 1"/>
    <w:basedOn w:val="Normal"/>
    <w:next w:val="Normal"/>
    <w:link w:val="Nagwek1Znak"/>
    <w:uiPriority w:val="9"/>
    <w:qFormat/>
    <w:rsid w:val="007e467c"/>
    <w:pPr>
      <w:keepNext w:val="true"/>
      <w:keepLines/>
      <w:spacing w:before="360" w:after="80"/>
      <w:outlineLvl w:val="0"/>
    </w:pPr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40"/>
      <w:szCs w:val="40"/>
    </w:rPr>
  </w:style>
  <w:style w:type="paragraph" w:styleId="Heading2">
    <w:name w:val="heading 2"/>
    <w:basedOn w:val="Normal"/>
    <w:next w:val="Normal"/>
    <w:link w:val="Nagwek2Znak"/>
    <w:uiPriority w:val="9"/>
    <w:semiHidden/>
    <w:unhideWhenUsed/>
    <w:qFormat/>
    <w:rsid w:val="007e467c"/>
    <w:pPr>
      <w:keepNext w:val="true"/>
      <w:keepLines/>
      <w:spacing w:before="160" w:after="80"/>
      <w:outlineLvl w:val="1"/>
    </w:pPr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32"/>
      <w:szCs w:val="32"/>
    </w:rPr>
  </w:style>
  <w:style w:type="paragraph" w:styleId="Heading3">
    <w:name w:val="heading 3"/>
    <w:basedOn w:val="Normal"/>
    <w:next w:val="Normal"/>
    <w:link w:val="Nagwek3Znak"/>
    <w:uiPriority w:val="9"/>
    <w:semiHidden/>
    <w:unhideWhenUsed/>
    <w:qFormat/>
    <w:rsid w:val="007e467c"/>
    <w:pPr>
      <w:keepNext w:val="true"/>
      <w:keepLines/>
      <w:spacing w:before="160" w:after="80"/>
      <w:outlineLvl w:val="2"/>
    </w:pPr>
    <w:rPr>
      <w:rFonts w:eastAsia="" w:cs="" w:cstheme="majorBidi" w:eastAsiaTheme="majorEastAsia"/>
      <w:color w:themeColor="accent1" w:themeShade="bf" w:val="2F5496"/>
      <w:sz w:val="28"/>
      <w:szCs w:val="28"/>
    </w:rPr>
  </w:style>
  <w:style w:type="paragraph" w:styleId="Heading4">
    <w:name w:val="heading 4"/>
    <w:basedOn w:val="Normal"/>
    <w:next w:val="Normal"/>
    <w:link w:val="Nagwek4Znak"/>
    <w:uiPriority w:val="9"/>
    <w:semiHidden/>
    <w:unhideWhenUsed/>
    <w:qFormat/>
    <w:rsid w:val="007e467c"/>
    <w:pPr>
      <w:keepNext w:val="true"/>
      <w:keepLines/>
      <w:spacing w:before="80" w:after="40"/>
      <w:outlineLvl w:val="3"/>
    </w:pPr>
    <w:rPr>
      <w:rFonts w:eastAsia="" w:cs="" w:cstheme="majorBidi" w:eastAsiaTheme="majorEastAsia"/>
      <w:i/>
      <w:iCs/>
      <w:color w:themeColor="accent1" w:themeShade="bf" w:val="2F5496"/>
    </w:rPr>
  </w:style>
  <w:style w:type="paragraph" w:styleId="Heading5">
    <w:name w:val="heading 5"/>
    <w:basedOn w:val="Normal"/>
    <w:next w:val="Normal"/>
    <w:link w:val="Nagwek5Znak"/>
    <w:uiPriority w:val="9"/>
    <w:semiHidden/>
    <w:unhideWhenUsed/>
    <w:qFormat/>
    <w:rsid w:val="007e467c"/>
    <w:pPr>
      <w:keepNext w:val="true"/>
      <w:keepLines/>
      <w:spacing w:before="80" w:after="40"/>
      <w:outlineLvl w:val="4"/>
    </w:pPr>
    <w:rPr>
      <w:rFonts w:eastAsia="" w:cs="" w:cstheme="majorBidi" w:eastAsiaTheme="majorEastAsia"/>
      <w:color w:themeColor="accent1" w:themeShade="bf" w:val="2F5496"/>
    </w:rPr>
  </w:style>
  <w:style w:type="paragraph" w:styleId="Heading6">
    <w:name w:val="heading 6"/>
    <w:basedOn w:val="Normal"/>
    <w:next w:val="Normal"/>
    <w:link w:val="Nagwek6Znak"/>
    <w:uiPriority w:val="9"/>
    <w:semiHidden/>
    <w:unhideWhenUsed/>
    <w:qFormat/>
    <w:rsid w:val="007e467c"/>
    <w:pPr>
      <w:keepNext w:val="true"/>
      <w:keepLines/>
      <w:spacing w:before="40" w:after="0"/>
      <w:outlineLvl w:val="5"/>
    </w:pPr>
    <w:rPr>
      <w:rFonts w:eastAsia="" w:cs="" w:cstheme="majorBidi" w:eastAsiaTheme="majorEastAsia"/>
      <w:i/>
      <w:iCs/>
      <w:color w:themeColor="text1" w:themeTint="a6" w:val="595959"/>
    </w:rPr>
  </w:style>
  <w:style w:type="paragraph" w:styleId="Heading7">
    <w:name w:val="heading 7"/>
    <w:basedOn w:val="Normal"/>
    <w:next w:val="Normal"/>
    <w:link w:val="Nagwek7Znak"/>
    <w:uiPriority w:val="9"/>
    <w:semiHidden/>
    <w:unhideWhenUsed/>
    <w:qFormat/>
    <w:rsid w:val="007e467c"/>
    <w:pPr>
      <w:keepNext w:val="true"/>
      <w:keepLines/>
      <w:spacing w:before="40" w:after="0"/>
      <w:outlineLvl w:val="6"/>
    </w:pPr>
    <w:rPr>
      <w:rFonts w:eastAsia="" w:cs="" w:cstheme="majorBidi" w:eastAsiaTheme="majorEastAsia"/>
      <w:color w:themeColor="text1" w:themeTint="a6" w:val="595959"/>
    </w:rPr>
  </w:style>
  <w:style w:type="paragraph" w:styleId="Heading8">
    <w:name w:val="heading 8"/>
    <w:basedOn w:val="Normal"/>
    <w:next w:val="Normal"/>
    <w:link w:val="Nagwek8Znak"/>
    <w:uiPriority w:val="9"/>
    <w:semiHidden/>
    <w:unhideWhenUsed/>
    <w:qFormat/>
    <w:rsid w:val="007e467c"/>
    <w:pPr>
      <w:keepNext w:val="true"/>
      <w:keepLines/>
      <w:spacing w:before="0" w:after="0"/>
      <w:outlineLvl w:val="7"/>
    </w:pPr>
    <w:rPr>
      <w:rFonts w:eastAsia="" w:cs="" w:cstheme="majorBidi" w:eastAsiaTheme="majorEastAsia"/>
      <w:i/>
      <w:iCs/>
      <w:color w:themeColor="text1" w:themeTint="d8" w:val="272727"/>
    </w:rPr>
  </w:style>
  <w:style w:type="paragraph" w:styleId="Heading9">
    <w:name w:val="heading 9"/>
    <w:basedOn w:val="Normal"/>
    <w:next w:val="Normal"/>
    <w:link w:val="Nagwek9Znak"/>
    <w:uiPriority w:val="9"/>
    <w:semiHidden/>
    <w:unhideWhenUsed/>
    <w:qFormat/>
    <w:rsid w:val="007e467c"/>
    <w:pPr>
      <w:keepNext w:val="true"/>
      <w:keepLines/>
      <w:spacing w:before="0" w:after="0"/>
      <w:outlineLvl w:val="8"/>
    </w:pPr>
    <w:rPr>
      <w:rFonts w:eastAsia="" w:cs="" w:cstheme="majorBidi" w:eastAsiaTheme="majorEastAsia"/>
      <w:color w:themeColor="text1" w:themeTint="d8" w:val="272727"/>
    </w:rPr>
  </w:style>
  <w:style w:type="character" w:styleId="DefaultParagraphFont" w:default="1">
    <w:name w:val="Default Paragraph Font"/>
    <w:uiPriority w:val="1"/>
    <w:unhideWhenUsed/>
    <w:qFormat/>
    <w:rPr/>
  </w:style>
  <w:style w:type="character" w:styleId="Nagwek1Znak" w:customStyle="1">
    <w:name w:val="Nagłówek 1 Znak"/>
    <w:basedOn w:val="DefaultParagraphFont"/>
    <w:uiPriority w:val="9"/>
    <w:qFormat/>
    <w:rsid w:val="007e467c"/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40"/>
      <w:szCs w:val="40"/>
    </w:rPr>
  </w:style>
  <w:style w:type="character" w:styleId="Nagwek2Znak" w:customStyle="1">
    <w:name w:val="Nagłówek 2 Znak"/>
    <w:basedOn w:val="DefaultParagraphFont"/>
    <w:uiPriority w:val="9"/>
    <w:semiHidden/>
    <w:qFormat/>
    <w:rsid w:val="007e467c"/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32"/>
      <w:szCs w:val="32"/>
    </w:rPr>
  </w:style>
  <w:style w:type="character" w:styleId="Nagwek3Znak" w:customStyle="1">
    <w:name w:val="Nagłówek 3 Znak"/>
    <w:basedOn w:val="DefaultParagraphFont"/>
    <w:uiPriority w:val="9"/>
    <w:semiHidden/>
    <w:qFormat/>
    <w:rsid w:val="007e467c"/>
    <w:rPr>
      <w:rFonts w:eastAsia="" w:cs="" w:cstheme="majorBidi" w:eastAsiaTheme="majorEastAsia"/>
      <w:color w:themeColor="accent1" w:themeShade="bf" w:val="2F5496"/>
      <w:sz w:val="28"/>
      <w:szCs w:val="28"/>
    </w:rPr>
  </w:style>
  <w:style w:type="character" w:styleId="Nagwek4Znak" w:customStyle="1">
    <w:name w:val="Nagłówek 4 Znak"/>
    <w:basedOn w:val="DefaultParagraphFont"/>
    <w:uiPriority w:val="9"/>
    <w:semiHidden/>
    <w:qFormat/>
    <w:rsid w:val="007e467c"/>
    <w:rPr>
      <w:rFonts w:eastAsia="" w:cs="" w:cstheme="majorBidi" w:eastAsiaTheme="majorEastAsia"/>
      <w:i/>
      <w:iCs/>
      <w:color w:themeColor="accent1" w:themeShade="bf" w:val="2F5496"/>
    </w:rPr>
  </w:style>
  <w:style w:type="character" w:styleId="Nagwek5Znak" w:customStyle="1">
    <w:name w:val="Nagłówek 5 Znak"/>
    <w:basedOn w:val="DefaultParagraphFont"/>
    <w:uiPriority w:val="9"/>
    <w:semiHidden/>
    <w:qFormat/>
    <w:rsid w:val="007e467c"/>
    <w:rPr>
      <w:rFonts w:eastAsia="" w:cs="" w:cstheme="majorBidi" w:eastAsiaTheme="majorEastAsia"/>
      <w:color w:themeColor="accent1" w:themeShade="bf" w:val="2F5496"/>
    </w:rPr>
  </w:style>
  <w:style w:type="character" w:styleId="Nagwek6Znak" w:customStyle="1">
    <w:name w:val="Nagłówek 6 Znak"/>
    <w:basedOn w:val="DefaultParagraphFont"/>
    <w:uiPriority w:val="9"/>
    <w:semiHidden/>
    <w:qFormat/>
    <w:rsid w:val="007e467c"/>
    <w:rPr>
      <w:rFonts w:eastAsia="" w:cs="" w:cstheme="majorBidi" w:eastAsiaTheme="majorEastAsia"/>
      <w:i/>
      <w:iCs/>
      <w:color w:themeColor="text1" w:themeTint="a6" w:val="595959"/>
    </w:rPr>
  </w:style>
  <w:style w:type="character" w:styleId="Nagwek7Znak" w:customStyle="1">
    <w:name w:val="Nagłówek 7 Znak"/>
    <w:basedOn w:val="DefaultParagraphFont"/>
    <w:uiPriority w:val="9"/>
    <w:semiHidden/>
    <w:qFormat/>
    <w:rsid w:val="007e467c"/>
    <w:rPr>
      <w:rFonts w:eastAsia="" w:cs="" w:cstheme="majorBidi" w:eastAsiaTheme="majorEastAsia"/>
      <w:color w:themeColor="text1" w:themeTint="a6" w:val="595959"/>
    </w:rPr>
  </w:style>
  <w:style w:type="character" w:styleId="Nagwek8Znak" w:customStyle="1">
    <w:name w:val="Nagłówek 8 Znak"/>
    <w:basedOn w:val="DefaultParagraphFont"/>
    <w:uiPriority w:val="9"/>
    <w:semiHidden/>
    <w:qFormat/>
    <w:rsid w:val="007e467c"/>
    <w:rPr>
      <w:rFonts w:eastAsia="" w:cs="" w:cstheme="majorBidi" w:eastAsiaTheme="majorEastAsia"/>
      <w:i/>
      <w:iCs/>
      <w:color w:themeColor="text1" w:themeTint="d8" w:val="272727"/>
    </w:rPr>
  </w:style>
  <w:style w:type="character" w:styleId="Nagwek9Znak" w:customStyle="1">
    <w:name w:val="Nagłówek 9 Znak"/>
    <w:basedOn w:val="DefaultParagraphFont"/>
    <w:uiPriority w:val="9"/>
    <w:semiHidden/>
    <w:qFormat/>
    <w:rsid w:val="007e467c"/>
    <w:rPr>
      <w:rFonts w:eastAsia="" w:cs="" w:cstheme="majorBidi" w:eastAsiaTheme="majorEastAsia"/>
      <w:color w:themeColor="text1" w:themeTint="d8" w:val="272727"/>
    </w:rPr>
  </w:style>
  <w:style w:type="character" w:styleId="TytuZnak" w:customStyle="1">
    <w:name w:val="Tytuł Znak"/>
    <w:basedOn w:val="DefaultParagraphFont"/>
    <w:uiPriority w:val="10"/>
    <w:qFormat/>
    <w:rsid w:val="007e467c"/>
    <w:rPr>
      <w:rFonts w:ascii="Calibri Light" w:hAnsi="Calibri Light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character" w:styleId="PodtytuZnak" w:customStyle="1">
    <w:name w:val="Podtytuł Znak"/>
    <w:basedOn w:val="DefaultParagraphFont"/>
    <w:uiPriority w:val="11"/>
    <w:qFormat/>
    <w:rsid w:val="007e467c"/>
    <w:rPr>
      <w:rFonts w:eastAsia="" w:cs="" w:cstheme="majorBidi" w:eastAsiaTheme="majorEastAsia"/>
      <w:color w:themeColor="text1" w:themeTint="a6" w:val="595959"/>
      <w:spacing w:val="15"/>
      <w:sz w:val="28"/>
      <w:szCs w:val="28"/>
    </w:rPr>
  </w:style>
  <w:style w:type="character" w:styleId="CytatZnak" w:customStyle="1">
    <w:name w:val="Cytat Znak"/>
    <w:basedOn w:val="DefaultParagraphFont"/>
    <w:link w:val="Quote"/>
    <w:uiPriority w:val="29"/>
    <w:qFormat/>
    <w:rsid w:val="007e467c"/>
    <w:rPr>
      <w:i/>
      <w:iCs/>
      <w:color w:themeColor="text1" w:themeTint="bf" w:val="404040"/>
    </w:rPr>
  </w:style>
  <w:style w:type="character" w:styleId="IntenseEmphasis">
    <w:name w:val="Intense Emphasis"/>
    <w:basedOn w:val="DefaultParagraphFont"/>
    <w:uiPriority w:val="21"/>
    <w:qFormat/>
    <w:rsid w:val="007e467c"/>
    <w:rPr>
      <w:i/>
      <w:iCs/>
      <w:color w:themeColor="accent1" w:themeShade="bf" w:val="2F5496"/>
    </w:rPr>
  </w:style>
  <w:style w:type="character" w:styleId="CytatintensywnyZnak" w:customStyle="1">
    <w:name w:val="Cytat intensywny Znak"/>
    <w:basedOn w:val="DefaultParagraphFont"/>
    <w:link w:val="IntenseQuote"/>
    <w:uiPriority w:val="30"/>
    <w:qFormat/>
    <w:rsid w:val="007e467c"/>
    <w:rPr>
      <w:i/>
      <w:iCs/>
      <w:color w:themeColor="accent1" w:themeShade="bf" w:val="2F5496"/>
    </w:rPr>
  </w:style>
  <w:style w:type="character" w:styleId="IntenseReference">
    <w:name w:val="Intense Reference"/>
    <w:basedOn w:val="DefaultParagraphFont"/>
    <w:uiPriority w:val="32"/>
    <w:qFormat/>
    <w:rsid w:val="007e467c"/>
    <w:rPr>
      <w:b/>
      <w:bCs/>
      <w:smallCaps/>
      <w:color w:themeColor="accent1" w:themeShade="bf" w:val="2F5496"/>
      <w:spacing w:val="5"/>
    </w:rPr>
  </w:style>
  <w:style w:type="character" w:styleId="InternetLink" w:customStyle="1">
    <w:name w:val="Internet Link"/>
    <w:basedOn w:val="DefaultParagraphFont"/>
    <w:uiPriority w:val="99"/>
    <w:unhideWhenUsed/>
    <w:qFormat/>
    <w:rsid w:val="007e467c"/>
    <w:rPr>
      <w:color w:themeColor="hyperlink" w:val="0563C1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qFormat/>
    <w:rsid w:val="007e467c"/>
    <w:rPr>
      <w:color w:val="605E5C"/>
      <w:shd w:fill="E1DFDD" w:val="clear"/>
    </w:rPr>
  </w:style>
  <w:style w:type="paragraph" w:styleId="Nagwek" w:customStyle="1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 w:customStyle="1">
    <w:name w:val="Indeks"/>
    <w:basedOn w:val="Normal"/>
    <w:qFormat/>
    <w:pPr>
      <w:suppressLineNumbers/>
    </w:pPr>
    <w:rPr>
      <w:rFonts w:cs="Arial"/>
    </w:rPr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Indeksuser" w:customStyle="1">
    <w:name w:val="Indeks (user)"/>
    <w:basedOn w:val="Normal"/>
    <w:qFormat/>
    <w:pPr>
      <w:suppressLineNumbers/>
    </w:pPr>
    <w:rPr>
      <w:rFonts w:cs="Arial"/>
    </w:rPr>
  </w:style>
  <w:style w:type="paragraph" w:styleId="Title">
    <w:name w:val="Title"/>
    <w:basedOn w:val="Normal"/>
    <w:next w:val="Normal"/>
    <w:link w:val="TytuZnak"/>
    <w:uiPriority w:val="10"/>
    <w:qFormat/>
    <w:rsid w:val="007e467c"/>
    <w:pPr>
      <w:spacing w:lineRule="auto" w:line="240" w:before="0" w:after="80"/>
      <w:contextualSpacing/>
    </w:pPr>
    <w:rPr>
      <w:rFonts w:ascii="Calibri Light" w:hAnsi="Calibri Light" w:eastAsia="" w:cs="" w:asciiTheme="majorHAnsi" w:cstheme="majorBidi" w:eastAsiaTheme="majorEastAsia" w:hAnsiTheme="majorHAnsi"/>
      <w:spacing w:val="-10"/>
      <w:sz w:val="56"/>
      <w:szCs w:val="56"/>
    </w:rPr>
  </w:style>
  <w:style w:type="paragraph" w:styleId="Subtitle">
    <w:name w:val="Subtitle"/>
    <w:basedOn w:val="Normal"/>
    <w:next w:val="Normal"/>
    <w:link w:val="PodtytuZnak"/>
    <w:uiPriority w:val="11"/>
    <w:qFormat/>
    <w:rsid w:val="007e467c"/>
    <w:pPr/>
    <w:rPr>
      <w:rFonts w:eastAsia="" w:cs="" w:cstheme="majorBidi" w:eastAsiaTheme="majorEastAsia"/>
      <w:color w:themeColor="text1" w:themeTint="a6" w:val="595959"/>
      <w:spacing w:val="15"/>
      <w:sz w:val="28"/>
      <w:szCs w:val="28"/>
    </w:rPr>
  </w:style>
  <w:style w:type="paragraph" w:styleId="Quote">
    <w:name w:val="Quote"/>
    <w:basedOn w:val="Normal"/>
    <w:next w:val="Normal"/>
    <w:link w:val="CytatZnak"/>
    <w:uiPriority w:val="29"/>
    <w:qFormat/>
    <w:rsid w:val="007e467c"/>
    <w:pPr>
      <w:spacing w:before="160" w:after="160"/>
      <w:jc w:val="center"/>
    </w:pPr>
    <w:rPr>
      <w:i/>
      <w:iCs/>
      <w:color w:themeColor="text1" w:themeTint="bf" w:val="404040"/>
    </w:rPr>
  </w:style>
  <w:style w:type="paragraph" w:styleId="ListParagraph">
    <w:name w:val="List Paragraph"/>
    <w:basedOn w:val="Normal"/>
    <w:uiPriority w:val="34"/>
    <w:qFormat/>
    <w:rsid w:val="007e467c"/>
    <w:pPr>
      <w:spacing w:before="0" w:after="160"/>
      <w:ind w:left="720"/>
      <w:contextualSpacing/>
    </w:pPr>
    <w:rPr/>
  </w:style>
  <w:style w:type="paragraph" w:styleId="IntenseQuote">
    <w:name w:val="Intense Quote"/>
    <w:basedOn w:val="Normal"/>
    <w:next w:val="Normal"/>
    <w:link w:val="CytatintensywnyZnak"/>
    <w:uiPriority w:val="30"/>
    <w:qFormat/>
    <w:rsid w:val="007e467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themeColor="accent1" w:themeShade="bf" w:val="2F5496"/>
    </w:rPr>
  </w:style>
  <w:style w:type="paragraph" w:styleId="Gwkaistopkauser" w:customStyle="1">
    <w:name w:val="Główka i stopka (user)"/>
    <w:basedOn w:val="Normal"/>
    <w:qFormat/>
    <w:pPr>
      <w:suppressLineNumbers/>
      <w:tabs>
        <w:tab w:val="clear" w:pos="708"/>
        <w:tab w:val="center" w:pos="4705" w:leader="none"/>
        <w:tab w:val="right" w:pos="9411" w:leader="none"/>
      </w:tabs>
    </w:pPr>
    <w:rPr/>
  </w:style>
  <w:style w:type="paragraph" w:styleId="Footer">
    <w:name w:val="footer"/>
    <w:basedOn w:val="Gwkaistopkauser"/>
    <w:pPr/>
    <w:rPr/>
  </w:style>
  <w:style w:type="numbering" w:styleId="Bezlisty" w:default="1">
    <w:name w:val="Bez listy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er" Target="footer2.xml"/><Relationship Id="rId4" Type="http://schemas.openxmlformats.org/officeDocument/2006/relationships/footer" Target="footer3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Application>LibreOffice/25.2.2.2$Windows_X86_64 LibreOffice_project/7370d4be9e3cf6031a51beef54ff3bda878e3fac</Application>
  <AppVersion>15.0000</AppVersion>
  <Pages>8</Pages>
  <Words>2156</Words>
  <Characters>13726</Characters>
  <CharactersWithSpaces>15636</CharactersWithSpaces>
  <Paragraphs>160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2025-05-11T17:02:00Z</dcterms:created>
  <dc:creator>Micha�</dc:creator>
  <dc:description/>
  <dc:language>pl-PL</dc:language>
  <cp:lastModifiedBy/>
  <cp:lastPrinted>2025-05-08T11:00:00Z</cp:lastPrinted>
  <dcterms:modified xsi:type="dcterms:W3CDTF">2025-05-12T07:40:12Z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