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300" w:before="0" w:after="240"/>
        <w:contextualSpacing/>
        <w:rPr>
          <w:rFonts w:ascii="Calibri" w:hAnsi="Calibri" w:cs="Calibri" w:asciiTheme="minorHAnsi" w:cstheme="minorHAnsi" w:hAnsiTheme="minorHAnsi"/>
          <w:b/>
          <w:i/>
          <w:i/>
          <w:iCs/>
          <w:sz w:val="24"/>
          <w:szCs w:val="24"/>
        </w:rPr>
      </w:pPr>
      <w:r>
        <w:rPr>
          <w:rFonts w:cs="Calibri" w:cstheme="minorHAnsi"/>
          <w:b/>
        </w:rPr>
        <w:tab/>
      </w:r>
      <w:r>
        <w:rPr>
          <w:rFonts w:cs="Calibri" w:cstheme="minorHAnsi"/>
          <w:b/>
          <w:i/>
          <w:iCs/>
          <w:sz w:val="24"/>
          <w:szCs w:val="24"/>
        </w:rPr>
        <w:t>Regulamin</w:t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300" w:before="0" w:after="240"/>
        <w:contextualSpacing/>
        <w:jc w:val="center"/>
        <w:rPr>
          <w:rFonts w:ascii="Calibri" w:hAnsi="Calibri" w:cs="Calibri" w:asciiTheme="minorHAnsi" w:cstheme="minorHAnsi" w:hAnsiTheme="minorHAnsi"/>
          <w:b/>
          <w:i/>
          <w:i/>
          <w:iCs/>
          <w:sz w:val="24"/>
          <w:szCs w:val="24"/>
        </w:rPr>
      </w:pPr>
      <w:r>
        <w:rPr>
          <w:rFonts w:cs="Calibri" w:cstheme="minorHAnsi"/>
          <w:b/>
          <w:i/>
          <w:iCs/>
          <w:sz w:val="24"/>
          <w:szCs w:val="24"/>
        </w:rPr>
        <w:t>EkoWymiennik. Rzeczy w dobrych rękach</w:t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300" w:before="0" w:after="240"/>
        <w:contextualSpacing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300" w:before="0" w:after="0"/>
        <w:contextualSpacing/>
        <w:jc w:val="both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lang w:eastAsia="pl-PL"/>
        </w:rPr>
        <w:t xml:space="preserve">1. Organizatorem imprezy pt. </w:t>
      </w:r>
      <w:r>
        <w:rPr>
          <w:rFonts w:cs="Calibri" w:cstheme="minorHAnsi"/>
          <w:b/>
          <w:i/>
          <w:iCs/>
        </w:rPr>
        <w:t>EkoWymiennik. Rzeczy w dobrych rękach</w:t>
      </w:r>
      <w:r>
        <w:rPr>
          <w:rFonts w:cs="Calibri" w:cstheme="minorHAnsi"/>
          <w:b/>
        </w:rPr>
        <w:t xml:space="preserve"> </w:t>
      </w:r>
      <w:r>
        <w:rPr>
          <w:rFonts w:cs="Calibri" w:cstheme="minorHAnsi"/>
          <w:bCs/>
          <w:lang w:eastAsia="pl-PL"/>
        </w:rPr>
        <w:t>jest</w:t>
      </w:r>
      <w:r>
        <w:rPr>
          <w:rFonts w:cs="Calibri" w:cstheme="minorHAnsi"/>
        </w:rPr>
        <w:t xml:space="preserve"> Urząd Miejski </w:t>
        <w:br/>
        <w:t>w Będzinie.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</w:rPr>
        <w:t xml:space="preserve">2. Wydarzenie jest organizowane </w:t>
      </w:r>
      <w:r>
        <w:rPr>
          <w:rFonts w:cs="Calibri" w:cstheme="minorHAnsi"/>
          <w:lang w:eastAsia="pl-PL"/>
        </w:rPr>
        <w:t>w dniu 01.06.2025 r. na terenie targowiska Miejskiego przy                           ul. Gzichowskiej  w Będzinie w godzinach od 9.00 – 13.00.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3. Celem wydarzenia  jest edukacja mieszkańców dotycząca propagowania postaw proekologicznych,  obiegu zamkniętego i recyklingu dotycząca mieszkańców pragnących wymienić lub oddać różnego rodzaju przedmioty w kategoriach: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 xml:space="preserve">- </w:t>
      </w:r>
      <w:r>
        <w:rPr>
          <w:rFonts w:cs="Calibri" w:cstheme="minorHAnsi"/>
          <w:b/>
          <w:bCs/>
          <w:i/>
          <w:iCs/>
          <w:lang w:eastAsia="pl-PL"/>
        </w:rPr>
        <w:t>Strefa książek</w:t>
      </w:r>
      <w:r>
        <w:rPr>
          <w:rFonts w:cs="Calibri" w:cstheme="minorHAnsi"/>
          <w:lang w:eastAsia="pl-PL"/>
        </w:rPr>
        <w:t xml:space="preserve"> – miejsce dla miłośników literatury. Uczestnicy będą mogli zostawić przeczytane książki i wziąć w zamian inne. Wymiana obejmuje zarówno literaturę dla dzieci, jak i książki popularnonaukowe, beletrystykę, poradniki czy albumy. 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 xml:space="preserve">- </w:t>
      </w:r>
      <w:r>
        <w:rPr>
          <w:rFonts w:cs="Calibri" w:cstheme="minorHAnsi"/>
          <w:b/>
          <w:bCs/>
          <w:i/>
          <w:iCs/>
          <w:lang w:eastAsia="pl-PL"/>
        </w:rPr>
        <w:t>Strefa roślin i sadzonek</w:t>
      </w:r>
      <w:r>
        <w:rPr>
          <w:rFonts w:cs="Calibri" w:cstheme="minorHAnsi"/>
          <w:lang w:eastAsia="pl-PL"/>
        </w:rPr>
        <w:t xml:space="preserve"> – rośliny doniczkowe, sadzonki kwiatów, ziół, a nawet nasiona. Uczestnicy będą mogli przekazać lub wymienić rośliny, które już nie mieszczą się w ich domach lub ogrodach, oraz otrzymać nowe, które wzbogacą ich zieloną przestrzeń.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 xml:space="preserve">- </w:t>
      </w:r>
      <w:r>
        <w:rPr>
          <w:rFonts w:cs="Calibri" w:cstheme="minorHAnsi"/>
          <w:b/>
          <w:bCs/>
          <w:i/>
          <w:iCs/>
          <w:lang w:eastAsia="pl-PL"/>
        </w:rPr>
        <w:t>Strefa zabawek</w:t>
      </w:r>
      <w:r>
        <w:rPr>
          <w:rFonts w:cs="Calibri" w:cstheme="minorHAnsi"/>
          <w:lang w:eastAsia="pl-PL"/>
        </w:rPr>
        <w:t xml:space="preserve"> – miejsce, gdzie dzieci i rodzice mogą wymieniać zabawki, gry planszowe, puzzle czy akcesoria edukacyjne.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  <w:t>4. Zabroniony jest handel, wymiana lub oddawanie przedmiotów niebezpiecznych (np. petard, broni), niedopuszczonych do sprzedaży, wymagających koncesji (np. alkohol, wyroby tytoniowe, leki), lub których posiadanie jest niezgodne z prawem, a także wielkogabarytowych. Dodatkowo, zabroniony jest handel odzieżą (nową jak i używaną).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 xml:space="preserve">5. Przedmiotami wystawianymi na wymianę mogą być rzeczy będące wyłącznie własnością </w:t>
      </w:r>
      <w:r>
        <w:rPr>
          <w:rFonts w:cs="Calibri" w:cstheme="minorHAnsi"/>
          <w:lang w:eastAsia="pl-PL"/>
        </w:rPr>
        <w:t>Wystawców</w:t>
      </w:r>
      <w:r>
        <w:rPr>
          <w:rFonts w:cs="Calibri" w:cstheme="minorHAnsi"/>
        </w:rPr>
        <w:t xml:space="preserve">, nowe lub używane w ilościach detalicznych (czyste i nadające się do ponownego użytku). 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6. Organizator nie ponosi odpowiedzialności za wymieniane lub oddawane rzeczy i zawarte transakcje.</w:t>
      </w:r>
    </w:p>
    <w:p>
      <w:pPr>
        <w:pStyle w:val="ListParagraph"/>
        <w:spacing w:lineRule="auto" w:line="300" w:before="0" w:after="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</w:rPr>
        <w:t xml:space="preserve">7. Organizator </w:t>
      </w:r>
      <w:r>
        <w:rPr>
          <w:rFonts w:cs="Calibri" w:cstheme="minorHAnsi"/>
          <w:lang w:eastAsia="pl-PL"/>
        </w:rPr>
        <w:t>nie ponosi odpowiedzialności za uszkodzenia lub straty towarów zaistniałe podczas wydarzenia.</w:t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300" w:before="0" w:after="0"/>
        <w:contextualSpacing/>
        <w:jc w:val="both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</w:rPr>
        <w:t xml:space="preserve">8. Na terenie </w:t>
      </w:r>
      <w:r>
        <w:rPr>
          <w:rFonts w:cs="Calibri" w:cstheme="minorHAnsi"/>
          <w:b/>
        </w:rPr>
        <w:t xml:space="preserve">EkoWymiennik. Rzeczy w dobrych rękach </w:t>
      </w:r>
      <w:r>
        <w:rPr>
          <w:rFonts w:cs="Calibri" w:cstheme="minorHAnsi"/>
        </w:rPr>
        <w:t>obowiązuje całkowity zakaz spożywania alkoholu oraz palenia wyrobów tytoniowych.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9. Udział w wydarzeniu jest dobrowolny i bezpłatny.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>0</w:t>
      </w:r>
      <w:r>
        <w:rPr>
          <w:rFonts w:cs="Calibri" w:cstheme="minorHAnsi"/>
          <w:lang w:eastAsia="pl-PL"/>
        </w:rPr>
        <w:t>. W wydarzeniu mogą brać udział wszyscy pełnoletni Wystawcy, bez względu na miejsce zamieszkania.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 xml:space="preserve">. Zgłoszenie Wystawcy jest równoznaczne z akceptacją przez niego niniejszego Regulaminu. 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>2</w:t>
      </w:r>
      <w:r>
        <w:rPr>
          <w:rFonts w:cs="Calibri" w:cstheme="minorHAnsi"/>
          <w:lang w:eastAsia="pl-PL"/>
        </w:rPr>
        <w:t>. Zgłoszenie można dokonać jedynie w imieniu własnym.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>3</w:t>
      </w:r>
      <w:r>
        <w:rPr>
          <w:rFonts w:cs="Calibri" w:cstheme="minorHAnsi"/>
          <w:lang w:eastAsia="pl-PL"/>
        </w:rPr>
        <w:t>. Zapisy Wystawców do udziału w wydarzeniu będą przyjmowane do 29 maja 2025 r. i będą prowadzone do wyczerpania limitu miejsc.</w:t>
      </w:r>
    </w:p>
    <w:p>
      <w:pPr>
        <w:pStyle w:val="ListParagraph"/>
        <w:spacing w:lineRule="auto" w:line="300" w:before="0" w:after="240"/>
        <w:ind w:left="0"/>
        <w:contextualSpacing/>
        <w:jc w:val="both"/>
        <w:rPr>
          <w:rFonts w:eastAsia="Times New Roman" w:cs="Calibri" w:cstheme="minorHAnsi"/>
          <w:lang w:eastAsia="pl-PL"/>
        </w:rPr>
      </w:pP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>4</w:t>
      </w:r>
      <w:r>
        <w:rPr>
          <w:rFonts w:cs="Calibri" w:cstheme="minorHAnsi"/>
          <w:lang w:eastAsia="pl-PL"/>
        </w:rPr>
        <w:t>. Do udziału w wydarzeniu Wystawcy mogą zapisać się wypełniając i podpisując Kartę Zgłoszenia, stanowiącą Załącznik nr 1</w:t>
      </w:r>
      <w:r>
        <w:rPr>
          <w:rFonts w:eastAsia="Times New Roman" w:cs="Calibri" w:cstheme="minorHAnsi"/>
          <w:b/>
          <w:lang w:eastAsia="pl-PL"/>
        </w:rPr>
        <w:t xml:space="preserve"> </w:t>
      </w:r>
      <w:r>
        <w:rPr>
          <w:rFonts w:eastAsia="Times New Roman" w:cs="Calibri" w:cstheme="minorHAnsi"/>
          <w:lang w:eastAsia="pl-PL"/>
        </w:rPr>
        <w:t>do niniejszego Regulaminu.</w:t>
      </w:r>
    </w:p>
    <w:p>
      <w:pPr>
        <w:pStyle w:val="ListParagraph"/>
        <w:spacing w:lineRule="auto" w:line="300" w:before="0" w:after="240"/>
        <w:ind w:left="0"/>
        <w:contextualSpacing/>
        <w:jc w:val="both"/>
        <w:rPr/>
      </w:pPr>
      <w:r>
        <w:rPr>
          <w:rFonts w:eastAsia="Times New Roman" w:cs="Calibri" w:cstheme="minorHAnsi"/>
          <w:lang w:eastAsia="pl-PL"/>
        </w:rPr>
        <w:t>1</w:t>
      </w:r>
      <w:r>
        <w:rPr>
          <w:rFonts w:eastAsia="Times New Roman" w:cs="Calibri" w:cstheme="minorHAnsi"/>
          <w:lang w:eastAsia="pl-PL"/>
        </w:rPr>
        <w:t>5</w:t>
      </w:r>
      <w:r>
        <w:rPr>
          <w:rFonts w:eastAsia="Times New Roman" w:cs="Calibri" w:cstheme="minorHAnsi"/>
          <w:lang w:eastAsia="pl-PL"/>
        </w:rPr>
        <w:t xml:space="preserve">. Kartę Zgłoszenia należy przesłać na adres mailowy: </w:t>
      </w:r>
      <w:hyperlink r:id="rId2">
        <w:r>
          <w:rPr>
            <w:rStyle w:val="Hyperlink"/>
            <w:rFonts w:eastAsia="Times New Roman" w:cs="Calibri" w:cstheme="minorHAnsi"/>
            <w:lang w:eastAsia="pl-PL"/>
          </w:rPr>
          <w:t>promocja@um.bedzin.pl</w:t>
        </w:r>
      </w:hyperlink>
      <w:r>
        <w:rPr>
          <w:rFonts w:eastAsia="Times New Roman" w:cs="Calibri" w:cstheme="minorHAnsi"/>
          <w:lang w:eastAsia="pl-PL"/>
        </w:rPr>
        <w:t xml:space="preserve"> </w:t>
      </w:r>
      <w:r>
        <w:rPr>
          <w:rFonts w:cs="Calibri" w:cstheme="minorHAnsi"/>
          <w:lang w:eastAsia="pl-PL"/>
        </w:rPr>
        <w:t>lub złożyć osobiście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Fonts w:cs="Calibri" w:cstheme="minorHAnsi"/>
          <w:lang w:eastAsia="pl-PL"/>
        </w:rPr>
        <w:t xml:space="preserve">w Wydziale Promocji, Kultury, Sportu i Komunikacji Społecznej Urzędu Miejskiego w Będzinie </w:t>
        <w:br/>
        <w:t xml:space="preserve">przy ul. Sportowej 4 w godzinach pracy Urzędu. 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>6</w:t>
      </w:r>
      <w:r>
        <w:rPr>
          <w:rFonts w:cs="Calibri" w:cstheme="minorHAnsi"/>
          <w:lang w:eastAsia="pl-PL"/>
        </w:rPr>
        <w:t xml:space="preserve">. Po otrzymaniu ważnego zgłoszenia Organizator przekaże Wystawcy </w:t>
      </w:r>
      <w:r>
        <w:rPr>
          <w:rFonts w:cs="Calibri" w:cstheme="minorHAnsi"/>
          <w:bCs/>
          <w:lang w:eastAsia="pl-PL"/>
        </w:rPr>
        <w:t xml:space="preserve">informację </w:t>
        <w:br/>
        <w:t xml:space="preserve">o miejscu/numerze stanowiska wyznaczonego dla </w:t>
      </w:r>
      <w:r>
        <w:rPr>
          <w:rFonts w:cs="Calibri" w:cstheme="minorHAnsi"/>
          <w:lang w:eastAsia="pl-PL"/>
        </w:rPr>
        <w:t xml:space="preserve">Wystawcy a także </w:t>
      </w:r>
      <w:r>
        <w:rPr>
          <w:rFonts w:cs="Calibri" w:cstheme="minorHAnsi"/>
          <w:bCs/>
          <w:lang w:eastAsia="pl-PL"/>
        </w:rPr>
        <w:t xml:space="preserve">klauzulę informacyjną </w:t>
        <w:br/>
        <w:t xml:space="preserve">o przetwarzaniu danych osobowych na podstawie przepisów prawa, z informacją o zakresie i czasie przetwarzania danych osobowych, a także informację o miejscu/numerze stanowiska wyznaczonego dla </w:t>
      </w:r>
      <w:r>
        <w:rPr>
          <w:rFonts w:cs="Calibri" w:cstheme="minorHAnsi"/>
          <w:lang w:eastAsia="pl-PL"/>
        </w:rPr>
        <w:t>Wystawcy</w:t>
      </w:r>
      <w:r>
        <w:rPr>
          <w:rFonts w:cs="Calibri" w:cstheme="minorHAnsi"/>
          <w:bCs/>
          <w:lang w:eastAsia="pl-PL"/>
        </w:rPr>
        <w:t xml:space="preserve"> na parkingu.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Style w:val="colour"/>
          <w:rFonts w:cs="Calibri" w:cstheme="minorHAnsi"/>
          <w:color w:val="000000"/>
        </w:rPr>
        <w:t>1</w:t>
      </w:r>
      <w:r>
        <w:rPr>
          <w:rStyle w:val="colour"/>
          <w:rFonts w:cs="Calibri" w:cstheme="minorHAnsi"/>
          <w:color w:val="000000"/>
        </w:rPr>
        <w:t>7</w:t>
      </w:r>
      <w:r>
        <w:rPr>
          <w:rStyle w:val="colour"/>
          <w:rFonts w:cs="Calibri" w:cstheme="minorHAnsi"/>
          <w:color w:val="000000"/>
        </w:rPr>
        <w:t xml:space="preserve">. W przypadku rezygnacji z uczestnictwa w wydarzeniu </w:t>
      </w:r>
      <w:r>
        <w:rPr>
          <w:rFonts w:cs="Calibri" w:cstheme="minorHAnsi"/>
          <w:lang w:eastAsia="pl-PL"/>
        </w:rPr>
        <w:t>Wystawca</w:t>
      </w:r>
      <w:r>
        <w:rPr>
          <w:rStyle w:val="colour"/>
          <w:rFonts w:cs="Calibri" w:cstheme="minorHAnsi"/>
          <w:color w:val="000000"/>
        </w:rPr>
        <w:t xml:space="preserve"> ma obowiązek wysłania </w:t>
        <w:br/>
        <w:t xml:space="preserve">do Organizatora na adres mailowy informacji o rezygnacji. 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>8</w:t>
      </w:r>
      <w:r>
        <w:rPr>
          <w:rFonts w:cs="Calibri" w:cstheme="minorHAnsi"/>
          <w:lang w:eastAsia="pl-PL"/>
        </w:rPr>
        <w:t xml:space="preserve">. O wpisie na listę Wystawców decyduje kolejność zgłoszeń. W przypadku wolnych miejsc zgłoszenie będzie możliwe również w dniu wydarzenia. 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Style w:val="colour"/>
          <w:rFonts w:cs="Calibri" w:cstheme="minorHAnsi"/>
          <w:lang w:eastAsia="pl-PL"/>
        </w:rPr>
        <w:t>19</w:t>
      </w:r>
      <w:r>
        <w:rPr>
          <w:rStyle w:val="colour"/>
          <w:rFonts w:cs="Calibri" w:cstheme="minorHAnsi"/>
          <w:lang w:eastAsia="pl-PL"/>
        </w:rPr>
        <w:t xml:space="preserve">. Stanowiska będą dostępne dla Wystawców od godziny 9.00 dnia </w:t>
      </w:r>
      <w:r>
        <w:rPr>
          <w:rFonts w:cs="Calibri" w:cstheme="minorHAnsi"/>
          <w:lang w:eastAsia="pl-PL"/>
        </w:rPr>
        <w:t>01.06.2025 r</w:t>
      </w:r>
      <w:r>
        <w:rPr>
          <w:rStyle w:val="colour"/>
          <w:rFonts w:cs="Calibri" w:cstheme="minorHAnsi"/>
          <w:lang w:eastAsia="pl-PL"/>
        </w:rPr>
        <w:t xml:space="preserve">. </w:t>
        <w:br/>
        <w:t>Każde stanowisko będzie wyposażone w stół. Wszelkie pozostałe elementy wyposażenie Wystawca może ustawić po wcześniejszym uzgodnieniu z Organizatorem</w:t>
      </w:r>
      <w:r>
        <w:rPr>
          <w:rStyle w:val="colour"/>
          <w:rFonts w:cs="Calibri" w:cstheme="minorHAnsi"/>
          <w:color w:val="000000"/>
          <w:lang w:eastAsia="pl-PL"/>
        </w:rPr>
        <w:t>.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Fonts w:cs="Calibri" w:cstheme="minorHAnsi"/>
        </w:rPr>
        <w:t>2</w:t>
      </w:r>
      <w:r>
        <w:rPr>
          <w:rFonts w:cs="Calibri" w:cstheme="minorHAnsi"/>
        </w:rPr>
        <w:t>0</w:t>
      </w:r>
      <w:r>
        <w:rPr>
          <w:rFonts w:cs="Calibri" w:cstheme="minorHAnsi"/>
        </w:rPr>
        <w:t>. Wystawca biorący udział w wydarzeniu zobowiązany jest do przestrzegania obowiązujących przepisów sanitarnych i na nim spoczywa odpowiedzialność karna za niedostosowanie się do nich.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Fonts w:cs="Calibri" w:cstheme="minorHAnsi"/>
          <w:lang w:eastAsia="pl-PL"/>
        </w:rPr>
        <w:t>2</w:t>
      </w:r>
      <w:r>
        <w:rPr>
          <w:rFonts w:cs="Calibri" w:cstheme="minorHAnsi"/>
          <w:lang w:eastAsia="pl-PL"/>
        </w:rPr>
        <w:t>1</w:t>
      </w:r>
      <w:r>
        <w:rPr>
          <w:rFonts w:cs="Calibri" w:cstheme="minorHAnsi"/>
          <w:lang w:eastAsia="pl-PL"/>
        </w:rPr>
        <w:t xml:space="preserve">. Wystawcy wyrażają zgodę na bezpłatne publikowanie wizerunku w materiałach informacyjnych, promocyjnych i prasowych związanych z </w:t>
      </w:r>
      <w:r>
        <w:rPr>
          <w:rFonts w:cs="Calibri" w:cstheme="minorHAnsi"/>
          <w:b/>
        </w:rPr>
        <w:t>EkoWymiennik. Rzeczy w dobrych rękach.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Fonts w:cs="Calibri" w:cstheme="minorHAnsi"/>
          <w:lang w:eastAsia="pl-PL"/>
        </w:rPr>
        <w:t>2</w:t>
      </w:r>
      <w:r>
        <w:rPr>
          <w:rFonts w:cs="Calibri" w:cstheme="minorHAnsi"/>
          <w:lang w:eastAsia="pl-PL"/>
        </w:rPr>
        <w:t>2</w:t>
      </w:r>
      <w:r>
        <w:rPr>
          <w:rFonts w:cs="Calibri" w:cstheme="minorHAnsi"/>
          <w:lang w:eastAsia="pl-PL"/>
        </w:rPr>
        <w:t xml:space="preserve">. Wystawcy zobowiązani są, po zakończeniu wydarzenia, do pozostawienia udostępnionego miejsca czystego i w nienaruszonym stanie. 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/>
      </w:pPr>
      <w:r>
        <w:rPr>
          <w:rFonts w:cs="Calibri" w:cstheme="minorHAnsi"/>
        </w:rPr>
        <w:t>2</w:t>
      </w:r>
      <w:r>
        <w:rPr>
          <w:rFonts w:cs="Calibri" w:cstheme="minorHAnsi"/>
        </w:rPr>
        <w:t>3</w:t>
      </w:r>
      <w:r>
        <w:rPr>
          <w:rFonts w:cs="Calibri" w:cstheme="minorHAnsi"/>
        </w:rPr>
        <w:t>. Organizator, w przypadkach od niego niezależnych, zastrzega sobie prawo do odwołania, skrócenia lub przełożenia imprezy.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  <w:t>2</w:t>
      </w:r>
      <w:r>
        <w:rPr>
          <w:rFonts w:cs="Calibri" w:cstheme="minorHAnsi"/>
          <w:lang w:eastAsia="pl-PL"/>
        </w:rPr>
        <w:t>4</w:t>
      </w:r>
      <w:r>
        <w:rPr>
          <w:rFonts w:cs="Calibri" w:cstheme="minorHAnsi"/>
          <w:lang w:eastAsia="pl-PL"/>
        </w:rPr>
        <w:t>. W sprawach nieuregulowanych niniejszym Regulaminem mają zastosowanie przepisy Kodeksu Cywilnego.</w:t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</w:r>
    </w:p>
    <w:p>
      <w:pPr>
        <w:pStyle w:val="ListParagraph"/>
        <w:tabs>
          <w:tab w:val="clear" w:pos="708"/>
          <w:tab w:val="left" w:pos="142" w:leader="none"/>
          <w:tab w:val="left" w:pos="426" w:leader="none"/>
        </w:tabs>
        <w:spacing w:lineRule="auto" w:line="300" w:before="0" w:after="240"/>
        <w:ind w:left="0"/>
        <w:contextualSpacing/>
        <w:jc w:val="both"/>
        <w:rPr>
          <w:rFonts w:cs="Calibri" w:cstheme="minorHAnsi"/>
          <w:lang w:eastAsia="pl-PL"/>
        </w:rPr>
      </w:pPr>
      <w:r>
        <w:rPr>
          <w:rFonts w:cs="Calibri" w:cstheme="minorHAnsi"/>
          <w:lang w:eastAsia="pl-PL"/>
        </w:rPr>
      </w:r>
    </w:p>
    <w:p>
      <w:pPr>
        <w:pStyle w:val="Normal"/>
        <w:spacing w:lineRule="auto" w:line="300" w:before="0" w:after="240"/>
        <w:contextualSpacing/>
        <w:rPr>
          <w:rFonts w:cs="Calibri" w:cstheme="minorHAnsi"/>
          <w:b/>
        </w:rPr>
      </w:pPr>
      <w:r>
        <w:rPr/>
        <w:drawing>
          <wp:inline distT="0" distB="0" distL="0" distR="0">
            <wp:extent cx="5759450" cy="765810"/>
            <wp:effectExtent l="0" t="0" r="0" b="0"/>
            <wp:docPr id="1" name="Obraz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418" w:right="1418" w:gutter="0" w:header="709" w:top="141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 wp14:anchorId="4FB6EA4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4FB6EA4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6" wp14:anchorId="50D6352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3" name="Ramk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223.7pt;margin-top:0.05pt;width:6pt;height:13.65pt;mso-wrap-style:square;v-text-anchor:top;mso-position-horizontal:center;mso-position-horizontal-relative:margin" wp14:anchorId="50D63521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1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6" wp14:anchorId="50D6352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4" name="Ramk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223.7pt;margin-top:0.05pt;width:6pt;height:13.65pt;mso-wrap-style:square;v-text-anchor:top;mso-position-horizontal:center;mso-position-horizontal-relative:margin" wp14:anchorId="50D63521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1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>
        <w:rFonts w:ascii="Calibri" w:hAnsi="Calibri" w:eastAsia="Times New Roman" w:cs="Calibri" w:asciiTheme="minorHAnsi" w:cstheme="minorHAnsi" w:hAnsiTheme="minorHAnsi"/>
        <w:sz w:val="20"/>
        <w:szCs w:val="20"/>
        <w:lang w:eastAsia="pl-PL"/>
      </w:rPr>
    </w:pPr>
    <w:r>
      <w:rPr>
        <w:rFonts w:eastAsia="Times New Roman" w:cs="Calibri" w:cstheme="minorHAnsi"/>
        <w:sz w:val="20"/>
        <w:szCs w:val="20"/>
        <w:lang w:eastAsia="pl-PL"/>
      </w:rPr>
    </w:r>
  </w:p>
  <w:p>
    <w:pPr>
      <w:pStyle w:val="Normal"/>
      <w:spacing w:lineRule="auto" w:line="240" w:before="0" w:after="0"/>
      <w:ind w:left="2829"/>
      <w:jc w:val="right"/>
      <w:rPr>
        <w:rFonts w:ascii="Arial" w:hAnsi="Arial" w:cs="Arial"/>
        <w:bCs/>
        <w:sz w:val="20"/>
        <w:szCs w:val="20"/>
      </w:rPr>
    </w:pPr>
    <w:r>
      <w:rPr>
        <w:rFonts w:cs="Arial" w:ascii="Arial" w:hAnsi="Arial"/>
        <w:sz w:val="20"/>
        <w:szCs w:val="20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>
        <w:rFonts w:ascii="Calibri" w:hAnsi="Calibri" w:eastAsia="Times New Roman" w:cs="Calibri" w:asciiTheme="minorHAnsi" w:cstheme="minorHAnsi" w:hAnsiTheme="minorHAnsi"/>
        <w:sz w:val="20"/>
        <w:szCs w:val="20"/>
        <w:lang w:eastAsia="pl-PL"/>
      </w:rPr>
    </w:pPr>
    <w:r>
      <w:rPr>
        <w:rFonts w:eastAsia="Times New Roman" w:cs="Calibri" w:cstheme="minorHAnsi"/>
        <w:sz w:val="20"/>
        <w:szCs w:val="20"/>
        <w:lang w:eastAsia="pl-PL"/>
      </w:rPr>
    </w:r>
  </w:p>
  <w:p>
    <w:pPr>
      <w:pStyle w:val="Normal"/>
      <w:spacing w:lineRule="auto" w:line="240" w:before="0" w:after="0"/>
      <w:ind w:left="2829"/>
      <w:jc w:val="right"/>
      <w:rPr>
        <w:rFonts w:ascii="Arial" w:hAnsi="Arial" w:cs="Arial"/>
        <w:bCs/>
        <w:sz w:val="20"/>
        <w:szCs w:val="20"/>
      </w:rPr>
    </w:pPr>
    <w:r>
      <w:rPr>
        <w:rFonts w:cs="Arial" w:ascii="Arial" w:hAnsi="Arial"/>
        <w:sz w:val="20"/>
        <w:szCs w:val="20"/>
      </w:rPr>
      <w:t xml:space="preserve"> 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35b2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uiPriority w:val="99"/>
    <w:qFormat/>
    <w:locked/>
    <w:rsid w:val="00f70436"/>
    <w:rPr>
      <w:rFonts w:ascii="Times New Roman" w:hAnsi="Times New Roman" w:cs="Times New Roman"/>
      <w:sz w:val="24"/>
      <w:szCs w:val="24"/>
      <w:lang w:eastAsia="pl-PL"/>
    </w:rPr>
  </w:style>
  <w:style w:type="character" w:styleId="PageNumber">
    <w:name w:val="page number"/>
    <w:uiPriority w:val="99"/>
    <w:qFormat/>
    <w:rsid w:val="00f70436"/>
    <w:rPr>
      <w:rFonts w:cs="Times New Roman"/>
    </w:rPr>
  </w:style>
  <w:style w:type="character" w:styleId="NagwekZnak" w:customStyle="1">
    <w:name w:val="Nagłówek Znak"/>
    <w:uiPriority w:val="99"/>
    <w:qFormat/>
    <w:locked/>
    <w:rsid w:val="00f70436"/>
    <w:rPr>
      <w:rFonts w:cs="Times New Roman"/>
    </w:rPr>
  </w:style>
  <w:style w:type="character" w:styleId="Hyperlink">
    <w:name w:val="Hyperlink"/>
    <w:uiPriority w:val="99"/>
    <w:rsid w:val="00660cb8"/>
    <w:rPr>
      <w:rFonts w:cs="Times New Roman"/>
      <w:color w:val="0563C1"/>
      <w:u w:val="single"/>
    </w:rPr>
  </w:style>
  <w:style w:type="character" w:styleId="colour" w:customStyle="1">
    <w:name w:val="colour"/>
    <w:uiPriority w:val="99"/>
    <w:qFormat/>
    <w:rsid w:val="005d57c6"/>
    <w:rPr>
      <w:rFonts w:cs="Times New Roman"/>
    </w:rPr>
  </w:style>
  <w:style w:type="character" w:styleId="size" w:customStyle="1">
    <w:name w:val="size"/>
    <w:uiPriority w:val="99"/>
    <w:qFormat/>
    <w:rsid w:val="008b4cc6"/>
    <w:rPr>
      <w:rFonts w:cs="Times New Roman"/>
    </w:rPr>
  </w:style>
  <w:style w:type="character" w:styleId="TekstdymkaZnak" w:customStyle="1">
    <w:name w:val="Tekst dymka Znak"/>
    <w:link w:val="BalloonText"/>
    <w:uiPriority w:val="99"/>
    <w:semiHidden/>
    <w:qFormat/>
    <w:locked/>
    <w:rsid w:val="006c344e"/>
    <w:rPr>
      <w:rFonts w:ascii="Segoe UI" w:hAnsi="Segoe UI" w:cs="Segoe UI"/>
      <w:sz w:val="18"/>
      <w:szCs w:val="18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f73b22"/>
    <w:rPr>
      <w:lang w:eastAsia="en-US"/>
    </w:rPr>
  </w:style>
  <w:style w:type="character" w:styleId="Znakinumeracjiuser" w:customStyle="1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f7043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rsid w:val="00f7043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f70436"/>
    <w:pPr>
      <w:spacing w:before="0" w:after="16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8b4cc6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qFormat/>
    <w:rsid w:val="006c344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semiHidden/>
    <w:rsid w:val="00f73b22"/>
    <w:pPr>
      <w:spacing w:lineRule="auto" w:line="240" w:before="0" w:after="0"/>
    </w:pPr>
    <w:rPr>
      <w:sz w:val="20"/>
      <w:szCs w:val="20"/>
    </w:rPr>
  </w:style>
  <w:style w:type="paragraph" w:styleId="Zawartoramkiuser" w:customStyle="1">
    <w:name w:val="Zawartość ramki (user)"/>
    <w:basedOn w:val="Normal"/>
    <w:qFormat/>
    <w:pPr/>
    <w:rPr/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mocja@um.bedzin.pl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Application>LibreOffice/25.2.2.2$Windows_X86_64 LibreOffice_project/7370d4be9e3cf6031a51beef54ff3bda878e3fac</Application>
  <AppVersion>15.0000</AppVersion>
  <Pages>2</Pages>
  <Words>586</Words>
  <Characters>3828</Characters>
  <CharactersWithSpaces>4430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2021-07-09T09:11:00Z</dcterms:created>
  <dc:creator>Nogowska-Bielejewska Grażyna</dc:creator>
  <dc:description/>
  <dc:language>pl-PL</dc:language>
  <cp:lastModifiedBy/>
  <cp:lastPrinted>2025-05-12T06:44:00Z</cp:lastPrinted>
  <dcterms:modified xsi:type="dcterms:W3CDTF">2025-05-14T14:06:38Z</dcterms:modified>
  <cp:revision>6</cp:revision>
  <dc:subject/>
  <dc:title>Załącznik nr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